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352" w:rsidRPr="00BF59D6" w:rsidRDefault="00977352" w:rsidP="00977352">
      <w:pPr>
        <w:spacing w:before="100" w:beforeAutospacing="1" w:after="100" w:afterAutospacing="1" w:line="240" w:lineRule="auto"/>
        <w:outlineLvl w:val="0"/>
        <w:rPr>
          <w:rFonts w:eastAsia="Times New Roman" w:cs="Times New Roman"/>
          <w:b/>
          <w:bCs/>
          <w:kern w:val="36"/>
          <w:sz w:val="36"/>
          <w:szCs w:val="36"/>
          <w:lang w:eastAsia="nb-NO"/>
        </w:rPr>
      </w:pPr>
      <w:bookmarkStart w:id="0" w:name="_GoBack"/>
      <w:bookmarkEnd w:id="0"/>
      <w:r w:rsidRPr="00BF59D6">
        <w:rPr>
          <w:rFonts w:eastAsia="Times New Roman" w:cs="Times New Roman"/>
          <w:b/>
          <w:bCs/>
          <w:kern w:val="36"/>
          <w:sz w:val="36"/>
          <w:szCs w:val="36"/>
          <w:lang w:eastAsia="nb-NO"/>
        </w:rPr>
        <w:t>Hvordan bruker vi komma, kolon og semikolon?</w:t>
      </w:r>
    </w:p>
    <w:p w:rsidR="00977352" w:rsidRPr="00BF59D6" w:rsidRDefault="00977352" w:rsidP="00977352">
      <w:pPr>
        <w:spacing w:before="100" w:beforeAutospacing="1" w:after="100" w:afterAutospacing="1" w:line="240" w:lineRule="auto"/>
        <w:rPr>
          <w:rFonts w:eastAsia="Times New Roman" w:cs="Times New Roman"/>
          <w:b/>
          <w:sz w:val="24"/>
          <w:szCs w:val="24"/>
          <w:lang w:eastAsia="nb-NO"/>
        </w:rPr>
      </w:pPr>
      <w:r w:rsidRPr="00BF59D6">
        <w:rPr>
          <w:rFonts w:eastAsia="Times New Roman" w:cs="Times New Roman"/>
          <w:b/>
          <w:sz w:val="24"/>
          <w:szCs w:val="24"/>
          <w:lang w:eastAsia="nb-NO"/>
        </w:rPr>
        <w:t>Disse små tegnene bruker vi for å skille mellom setninger og setningsledd. Men når skal vi bruke hvert av dem, og til hva?</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b/>
          <w:bCs/>
          <w:sz w:val="24"/>
          <w:szCs w:val="24"/>
          <w:lang w:eastAsia="nb-NO"/>
        </w:rPr>
        <w:t>Komma</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sz w:val="24"/>
          <w:szCs w:val="24"/>
          <w:lang w:eastAsia="nb-NO"/>
        </w:rPr>
        <w:t>Vi bruker komma i skriftspråket for å avgrense de enkelte delene i en setning der vi vanligvis ville brukt lydsignaler som pauser eller betoning for å markere setningsdelene. Likevel bygger kommareglene først og fremst på grammatisk analyse, slik at det ikke alltid går an å lytte seg fram til hvor kommaet skal stå, såkalt pausekomma, vi må analysere oss fram til det.</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sz w:val="24"/>
          <w:szCs w:val="24"/>
          <w:lang w:eastAsia="nb-NO"/>
        </w:rPr>
        <w:t> </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b/>
          <w:bCs/>
          <w:sz w:val="24"/>
          <w:szCs w:val="24"/>
          <w:lang w:eastAsia="nb-NO"/>
        </w:rPr>
        <w:t>Noen viktige kommaregler</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sz w:val="24"/>
          <w:szCs w:val="24"/>
          <w:lang w:eastAsia="nb-NO"/>
        </w:rPr>
        <w:t>Komma mellom helsetninger som er bundet sammen med og, eller, for og men</w:t>
      </w:r>
    </w:p>
    <w:p w:rsidR="00977352" w:rsidRPr="00BF59D6" w:rsidRDefault="00977352" w:rsidP="00977352">
      <w:pPr>
        <w:numPr>
          <w:ilvl w:val="0"/>
          <w:numId w:val="1"/>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sz w:val="24"/>
          <w:szCs w:val="24"/>
          <w:lang w:eastAsia="nb-NO"/>
        </w:rPr>
        <w:t>Byggeprosjektet tilfredsstiller plan- og bygningslovens bestemmelser, og Plan- og bygningsetaten godkjenner søknaden.</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sz w:val="24"/>
          <w:szCs w:val="24"/>
          <w:lang w:eastAsia="nb-NO"/>
        </w:rPr>
        <w:t> </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sz w:val="24"/>
          <w:szCs w:val="24"/>
          <w:lang w:eastAsia="nb-NO"/>
        </w:rPr>
        <w:t>Komma etter leddsetninger, som ofte starter med som, når, at eller hvis </w:t>
      </w:r>
    </w:p>
    <w:p w:rsidR="00977352" w:rsidRPr="00BF59D6" w:rsidRDefault="00977352" w:rsidP="00977352">
      <w:pPr>
        <w:numPr>
          <w:ilvl w:val="0"/>
          <w:numId w:val="2"/>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sz w:val="24"/>
          <w:szCs w:val="24"/>
          <w:lang w:eastAsia="nb-NO"/>
        </w:rPr>
        <w:t>Når dere har fått igangsettingstillatelse, kan dere sette i gang arbeidene. </w:t>
      </w:r>
    </w:p>
    <w:p w:rsidR="00977352" w:rsidRPr="00BF59D6" w:rsidRDefault="00977352" w:rsidP="00977352">
      <w:pPr>
        <w:numPr>
          <w:ilvl w:val="0"/>
          <w:numId w:val="2"/>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sz w:val="24"/>
          <w:szCs w:val="24"/>
          <w:lang w:eastAsia="nb-NO"/>
        </w:rPr>
        <w:t>Hvis du retter opp det ulovlige forholdet, unngår du pålegg og tvangsmulkt. </w:t>
      </w:r>
    </w:p>
    <w:p w:rsidR="00977352" w:rsidRPr="00BF59D6" w:rsidRDefault="00977352" w:rsidP="00977352">
      <w:pPr>
        <w:numPr>
          <w:ilvl w:val="0"/>
          <w:numId w:val="2"/>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sz w:val="24"/>
          <w:szCs w:val="24"/>
          <w:lang w:eastAsia="nb-NO"/>
        </w:rPr>
        <w:t>I de dokumentene (som) vi har gjennomgått, er det ikke så mange feil.</w:t>
      </w:r>
    </w:p>
    <w:p w:rsidR="00977352" w:rsidRPr="00BF59D6" w:rsidRDefault="00977352" w:rsidP="00977352">
      <w:pPr>
        <w:numPr>
          <w:ilvl w:val="0"/>
          <w:numId w:val="2"/>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sz w:val="24"/>
          <w:szCs w:val="24"/>
          <w:lang w:eastAsia="nb-NO"/>
        </w:rPr>
        <w:t>Det er ikke minst viktig å sørge for en arealeffektiv soneinndeling med møblering som inviterer til opphold og sosial aktivitet, som tilbyr le mot sol og vind, og som har tilstrekkelig med frodige vekster og grønne flater.</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sz w:val="24"/>
          <w:szCs w:val="24"/>
          <w:lang w:eastAsia="nb-NO"/>
        </w:rPr>
        <w:t> </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sz w:val="24"/>
          <w:szCs w:val="24"/>
          <w:lang w:eastAsia="nb-NO"/>
        </w:rPr>
        <w:t>Ikke komma etter infinitivskonstruksjoner eller preposisjonsuttrykk </w:t>
      </w:r>
    </w:p>
    <w:p w:rsidR="00977352" w:rsidRPr="00BF59D6" w:rsidRDefault="00977352" w:rsidP="00977352">
      <w:pPr>
        <w:numPr>
          <w:ilvl w:val="0"/>
          <w:numId w:val="3"/>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sz w:val="24"/>
          <w:szCs w:val="24"/>
          <w:lang w:eastAsia="nb-NO"/>
        </w:rPr>
        <w:t>I den midlertidige brukstillatelsen ble det gitt en frist for å ferdigstille arbeidet. </w:t>
      </w:r>
    </w:p>
    <w:p w:rsidR="00977352" w:rsidRPr="00BF59D6" w:rsidRDefault="00977352" w:rsidP="00977352">
      <w:pPr>
        <w:numPr>
          <w:ilvl w:val="0"/>
          <w:numId w:val="3"/>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sz w:val="24"/>
          <w:szCs w:val="24"/>
          <w:lang w:eastAsia="nb-NO"/>
        </w:rPr>
        <w:t>For å unngå spredning av uønskede arter er det viktig at avfall etter byggearbeider håndteres riktig. </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sz w:val="24"/>
          <w:szCs w:val="24"/>
          <w:lang w:eastAsia="nb-NO"/>
        </w:rPr>
        <w:t> </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b/>
          <w:bCs/>
          <w:sz w:val="24"/>
          <w:szCs w:val="24"/>
          <w:lang w:eastAsia="nb-NO"/>
        </w:rPr>
        <w:t>Kolon</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sz w:val="24"/>
          <w:szCs w:val="24"/>
          <w:lang w:eastAsia="nb-NO"/>
        </w:rPr>
        <w:t>Vi bruker kolon for å presentere det som kommer etter, for eksempel sitater eller replikker. Vi kan også bruke kolon foran eksempler, spesifiseringer, forklaringer og oppramsinger, men det skal være komma hvis oppramsingen begynner med for eksempel, det vil si eller nemlig. Det skal bare være stor bokstav etter kolon hvis det etterfølgende er et egennavn eller en fullstendig setning.</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sz w:val="24"/>
          <w:szCs w:val="24"/>
          <w:lang w:eastAsia="nb-NO"/>
        </w:rPr>
        <w:t> </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b/>
          <w:bCs/>
          <w:sz w:val="24"/>
          <w:szCs w:val="24"/>
          <w:lang w:eastAsia="nb-NO"/>
        </w:rPr>
        <w:t>Regler for kolon</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sz w:val="24"/>
          <w:szCs w:val="24"/>
          <w:lang w:eastAsia="nb-NO"/>
        </w:rPr>
        <w:t>Kolon foran oppramsinger som ikke er hele setninger</w:t>
      </w:r>
    </w:p>
    <w:p w:rsidR="00977352" w:rsidRPr="00BF59D6" w:rsidRDefault="00977352" w:rsidP="00977352">
      <w:pPr>
        <w:numPr>
          <w:ilvl w:val="0"/>
          <w:numId w:val="4"/>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sz w:val="24"/>
          <w:szCs w:val="24"/>
          <w:lang w:eastAsia="nb-NO"/>
        </w:rPr>
        <w:t>Viktige temaer kan være: støyforhold, grad av utnytting og universell utforming. </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sz w:val="24"/>
          <w:szCs w:val="24"/>
          <w:lang w:eastAsia="nb-NO"/>
        </w:rPr>
        <w:lastRenderedPageBreak/>
        <w:t>Kolon der det etterfølgende er hele setninger</w:t>
      </w:r>
    </w:p>
    <w:p w:rsidR="00977352" w:rsidRPr="00BF59D6" w:rsidRDefault="00977352" w:rsidP="00977352">
      <w:pPr>
        <w:numPr>
          <w:ilvl w:val="0"/>
          <w:numId w:val="5"/>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sz w:val="24"/>
          <w:szCs w:val="24"/>
          <w:lang w:eastAsia="nb-NO"/>
        </w:rPr>
        <w:t>Plan- og bygningsetatens konklusjon: Søknaden godkjennes. </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sz w:val="24"/>
          <w:szCs w:val="24"/>
          <w:lang w:eastAsia="nb-NO"/>
        </w:rPr>
        <w:t>Kolon for å vise forhold mellom tall</w:t>
      </w:r>
    </w:p>
    <w:p w:rsidR="00977352" w:rsidRPr="00BF59D6" w:rsidRDefault="00977352" w:rsidP="00977352">
      <w:pPr>
        <w:numPr>
          <w:ilvl w:val="0"/>
          <w:numId w:val="6"/>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sz w:val="24"/>
          <w:szCs w:val="24"/>
          <w:lang w:eastAsia="nb-NO"/>
        </w:rPr>
        <w:t xml:space="preserve">Målestokk </w:t>
      </w:r>
      <w:proofErr w:type="gramStart"/>
      <w:r w:rsidRPr="00BF59D6">
        <w:rPr>
          <w:rFonts w:eastAsia="Times New Roman" w:cs="Times New Roman"/>
          <w:sz w:val="24"/>
          <w:szCs w:val="24"/>
          <w:lang w:eastAsia="nb-NO"/>
        </w:rPr>
        <w:t>1 :</w:t>
      </w:r>
      <w:proofErr w:type="gramEnd"/>
      <w:r w:rsidRPr="00BF59D6">
        <w:rPr>
          <w:rFonts w:eastAsia="Times New Roman" w:cs="Times New Roman"/>
          <w:sz w:val="24"/>
          <w:szCs w:val="24"/>
          <w:lang w:eastAsia="nb-NO"/>
        </w:rPr>
        <w:t xml:space="preserve"> 50 000</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sz w:val="24"/>
          <w:szCs w:val="24"/>
          <w:lang w:eastAsia="nb-NO"/>
        </w:rPr>
        <w:t> </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b/>
          <w:bCs/>
          <w:sz w:val="24"/>
          <w:szCs w:val="24"/>
          <w:lang w:eastAsia="nb-NO"/>
        </w:rPr>
        <w:t>Semikolon</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sz w:val="24"/>
          <w:szCs w:val="24"/>
          <w:lang w:eastAsia="nb-NO"/>
        </w:rPr>
        <w:t>Vi bruker semikolon for å lage et lite opphold mellom helsetninger som hører nært sammen, for å understreke den nære sammenhengen mellom dem, eller for å skille mellom ledd i sammensatte oppregninger. Semikolon kan ikke erstatte kolon, og det kan bare brukes der vi kan sette punktum. Semikolon er aldri obligatorisk, så det er greit å la være å bruke tegnet hvis du er usikker på om du bruker det riktig. </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sz w:val="24"/>
          <w:szCs w:val="24"/>
          <w:lang w:eastAsia="nb-NO"/>
        </w:rPr>
        <w:t> </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b/>
          <w:bCs/>
          <w:sz w:val="24"/>
          <w:szCs w:val="24"/>
          <w:lang w:eastAsia="nb-NO"/>
        </w:rPr>
        <w:t>Regler for semikolon</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sz w:val="24"/>
          <w:szCs w:val="24"/>
          <w:lang w:eastAsia="nb-NO"/>
        </w:rPr>
        <w:t>Semikolon for å markere at setninger hører nært sammen</w:t>
      </w:r>
    </w:p>
    <w:p w:rsidR="00977352" w:rsidRPr="00BF59D6" w:rsidRDefault="00977352" w:rsidP="00977352">
      <w:pPr>
        <w:numPr>
          <w:ilvl w:val="0"/>
          <w:numId w:val="7"/>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sz w:val="24"/>
          <w:szCs w:val="24"/>
          <w:lang w:eastAsia="nb-NO"/>
        </w:rPr>
        <w:t>Bare en liten del av veien er asfaltert; resten er grusvei.</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sz w:val="24"/>
          <w:szCs w:val="24"/>
          <w:lang w:eastAsia="nb-NO"/>
        </w:rPr>
        <w:t>Semikolon for å skille mellom ledd i sammensatte oppramsinger</w:t>
      </w:r>
    </w:p>
    <w:p w:rsidR="00977352" w:rsidRPr="00BF59D6" w:rsidRDefault="00977352" w:rsidP="00977352">
      <w:pPr>
        <w:numPr>
          <w:ilvl w:val="0"/>
          <w:numId w:val="8"/>
        </w:numPr>
        <w:spacing w:before="100" w:beforeAutospacing="1" w:after="100" w:afterAutospacing="1" w:line="240" w:lineRule="auto"/>
        <w:rPr>
          <w:rFonts w:eastAsia="Times New Roman" w:cs="Times New Roman"/>
          <w:sz w:val="24"/>
          <w:szCs w:val="24"/>
          <w:lang w:eastAsia="nb-NO"/>
        </w:rPr>
      </w:pPr>
      <w:r w:rsidRPr="00BF59D6">
        <w:rPr>
          <w:rFonts w:eastAsia="Times New Roman" w:cs="Times New Roman"/>
          <w:sz w:val="24"/>
          <w:szCs w:val="24"/>
          <w:lang w:eastAsia="nb-NO"/>
        </w:rPr>
        <w:t>I den øverste ledelsen jobber Ellen de Vibe, etatsdirektør; Erik Dahl, prosjektdirektør; Marit Eeg, assisterende direktør for kvalitet og service; Hogne Hove, assisterende direktør for strategi; Kari Opheim, prosjektdirektør.</w:t>
      </w:r>
    </w:p>
    <w:p w:rsidR="00977352" w:rsidRPr="00BF59D6" w:rsidRDefault="00977352" w:rsidP="00977352">
      <w:pPr>
        <w:spacing w:after="0" w:line="240" w:lineRule="auto"/>
        <w:rPr>
          <w:rFonts w:eastAsia="Times New Roman" w:cs="Times New Roman"/>
          <w:sz w:val="24"/>
          <w:szCs w:val="24"/>
          <w:lang w:eastAsia="nb-NO"/>
        </w:rPr>
      </w:pPr>
      <w:r w:rsidRPr="00BF59D6">
        <w:rPr>
          <w:rFonts w:eastAsia="Times New Roman" w:cs="Times New Roman"/>
          <w:sz w:val="24"/>
          <w:szCs w:val="24"/>
          <w:lang w:eastAsia="nb-NO"/>
        </w:rPr>
        <w:t> </w:t>
      </w:r>
    </w:p>
    <w:p w:rsidR="00977352" w:rsidRPr="00977352" w:rsidRDefault="00977352" w:rsidP="00977352">
      <w:pPr>
        <w:spacing w:after="0" w:line="240" w:lineRule="auto"/>
        <w:rPr>
          <w:rFonts w:eastAsia="Times New Roman" w:cs="Times New Roman"/>
          <w:sz w:val="24"/>
          <w:szCs w:val="24"/>
          <w:lang w:val="nn-NO" w:eastAsia="nb-NO"/>
        </w:rPr>
      </w:pPr>
      <w:proofErr w:type="spellStart"/>
      <w:r w:rsidRPr="00977352">
        <w:rPr>
          <w:rFonts w:eastAsia="Times New Roman" w:cs="Times New Roman"/>
          <w:sz w:val="24"/>
          <w:szCs w:val="24"/>
          <w:lang w:val="nn-NO" w:eastAsia="nb-NO"/>
        </w:rPr>
        <w:t>Kilder</w:t>
      </w:r>
      <w:proofErr w:type="spellEnd"/>
      <w:r w:rsidRPr="00977352">
        <w:rPr>
          <w:rFonts w:eastAsia="Times New Roman" w:cs="Times New Roman"/>
          <w:sz w:val="24"/>
          <w:szCs w:val="24"/>
          <w:lang w:val="nn-NO" w:eastAsia="nb-NO"/>
        </w:rPr>
        <w:t>: Språkrådet.no og Vinje: Skriveregler, 2009. </w:t>
      </w:r>
    </w:p>
    <w:p w:rsidR="00977352" w:rsidRPr="00977352" w:rsidRDefault="00977352" w:rsidP="00977352">
      <w:pPr>
        <w:spacing w:after="0" w:line="240" w:lineRule="auto"/>
        <w:rPr>
          <w:rFonts w:eastAsia="Times New Roman" w:cs="Times New Roman"/>
          <w:sz w:val="24"/>
          <w:szCs w:val="24"/>
          <w:lang w:val="nn-NO" w:eastAsia="nb-NO"/>
        </w:rPr>
      </w:pPr>
      <w:r w:rsidRPr="00977352">
        <w:rPr>
          <w:rFonts w:eastAsia="Times New Roman" w:cs="Times New Roman"/>
          <w:sz w:val="24"/>
          <w:szCs w:val="24"/>
          <w:lang w:val="nn-NO" w:eastAsia="nb-NO"/>
        </w:rPr>
        <w:t> </w:t>
      </w:r>
    </w:p>
    <w:p w:rsidR="0014760A" w:rsidRPr="00977352" w:rsidRDefault="009250F7">
      <w:pPr>
        <w:rPr>
          <w:lang w:val="nn-NO"/>
        </w:rPr>
      </w:pPr>
    </w:p>
    <w:sectPr w:rsidR="0014760A" w:rsidRPr="00977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1E27"/>
    <w:multiLevelType w:val="multilevel"/>
    <w:tmpl w:val="0494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23926"/>
    <w:multiLevelType w:val="multilevel"/>
    <w:tmpl w:val="6D9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C16F9"/>
    <w:multiLevelType w:val="multilevel"/>
    <w:tmpl w:val="FD1E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E7884"/>
    <w:multiLevelType w:val="multilevel"/>
    <w:tmpl w:val="5B98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D416C0"/>
    <w:multiLevelType w:val="multilevel"/>
    <w:tmpl w:val="DB88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A3DC1"/>
    <w:multiLevelType w:val="multilevel"/>
    <w:tmpl w:val="B220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322C93"/>
    <w:multiLevelType w:val="multilevel"/>
    <w:tmpl w:val="8210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5B38D1"/>
    <w:multiLevelType w:val="multilevel"/>
    <w:tmpl w:val="D0EC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6"/>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8D"/>
    <w:rsid w:val="0091748D"/>
    <w:rsid w:val="009250F7"/>
    <w:rsid w:val="00977352"/>
    <w:rsid w:val="00D436A1"/>
    <w:rsid w:val="00FB36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02906-6814-4607-A872-7C955314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48D"/>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2659</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KS</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Holm Vågsland</dc:creator>
  <cp:keywords/>
  <dc:description/>
  <cp:lastModifiedBy>Anna Holm Vågsland</cp:lastModifiedBy>
  <cp:revision>3</cp:revision>
  <dcterms:created xsi:type="dcterms:W3CDTF">2019-04-08T13:51:00Z</dcterms:created>
  <dcterms:modified xsi:type="dcterms:W3CDTF">2019-04-08T13:59:00Z</dcterms:modified>
</cp:coreProperties>
</file>