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lang w:eastAsia="en-US"/>
        </w:rPr>
        <w:id w:val="322625648"/>
        <w:docPartObj>
          <w:docPartGallery w:val="Cover Pages"/>
          <w:docPartUnique/>
        </w:docPartObj>
      </w:sdtPr>
      <w:sdtContent>
        <w:p w14:paraId="76DC44BD" w14:textId="1A069560" w:rsidR="0059351C" w:rsidRDefault="0059351C">
          <w:pPr>
            <w:pStyle w:val="Ingenmellomrom"/>
          </w:pPr>
          <w:r>
            <w:rPr>
              <w:noProof/>
            </w:rPr>
            <mc:AlternateContent>
              <mc:Choice Requires="wpg">
                <w:drawing>
                  <wp:anchor distT="0" distB="0" distL="114300" distR="114300" simplePos="0" relativeHeight="251658240" behindDoc="1" locked="0" layoutInCell="1" allowOverlap="1" wp14:anchorId="7B45F301" wp14:editId="4588606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pe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ktangel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emkant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8-28T00:00:00Z">
                                      <w:dateFormat w:val="dd.MM.yyyy"/>
                                      <w:lid w:val="nb-NO"/>
                                      <w:storeMappedDataAs w:val="dateTime"/>
                                      <w:calendar w:val="gregorian"/>
                                    </w:date>
                                  </w:sdtPr>
                                  <w:sdtContent>
                                    <w:p w14:paraId="23C6B9F1" w14:textId="0C873ED8" w:rsidR="0059351C" w:rsidRDefault="00F3638D">
                                      <w:pPr>
                                        <w:pStyle w:val="Ingenmellomrom"/>
                                        <w:jc w:val="right"/>
                                        <w:rPr>
                                          <w:color w:val="FFFFFF" w:themeColor="background1"/>
                                          <w:sz w:val="28"/>
                                          <w:szCs w:val="28"/>
                                        </w:rPr>
                                      </w:pPr>
                                      <w:r>
                                        <w:rPr>
                                          <w:color w:val="FFFFFF" w:themeColor="background1"/>
                                          <w:sz w:val="28"/>
                                          <w:szCs w:val="28"/>
                                        </w:rPr>
                                        <w:t>28.08.2024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pe 5"/>
                            <wpg:cNvGrpSpPr/>
                            <wpg:grpSpPr>
                              <a:xfrm>
                                <a:off x="76200" y="4210050"/>
                                <a:ext cx="2057400" cy="4910328"/>
                                <a:chOff x="80645" y="4211812"/>
                                <a:chExt cx="1306273" cy="3121026"/>
                              </a:xfrm>
                            </wpg:grpSpPr>
                            <wpg:grpSp>
                              <wpg:cNvPr id="6" name="Gruppe 6"/>
                              <wpg:cNvGrpSpPr>
                                <a:grpSpLocks noChangeAspect="1"/>
                              </wpg:cNvGrpSpPr>
                              <wpg:grpSpPr>
                                <a:xfrm>
                                  <a:off x="141062" y="4211812"/>
                                  <a:ext cx="1047750" cy="3121026"/>
                                  <a:chOff x="141062" y="4211812"/>
                                  <a:chExt cx="1047750" cy="3121026"/>
                                </a:xfrm>
                              </wpg:grpSpPr>
                              <wps:wsp>
                                <wps:cNvPr id="20" name="Frihånds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ihånds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ihånds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ihånds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ihånds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ihånds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ihånds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ihånds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ihånds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ihånds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ihånds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ihånds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pe 7"/>
                              <wpg:cNvGrpSpPr>
                                <a:grpSpLocks noChangeAspect="1"/>
                              </wpg:cNvGrpSpPr>
                              <wpg:grpSpPr>
                                <a:xfrm>
                                  <a:off x="80645" y="4826972"/>
                                  <a:ext cx="1306273" cy="2505863"/>
                                  <a:chOff x="80645" y="4649964"/>
                                  <a:chExt cx="874712" cy="1677988"/>
                                </a:xfrm>
                              </wpg:grpSpPr>
                              <wps:wsp>
                                <wps:cNvPr id="8" name="Frihånds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ihånds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ihånds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ihånds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ihånds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ihånds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ihånds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ihånds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ihånds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ihånds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ihånds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B45F301" id="Gruppe 1" o:spid="_x0000_s1026" style="position:absolute;margin-left:0;margin-top:0;width:172.8pt;height:718.55pt;z-index:-251658240;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dyVSQAANMEAQAOAAAAZHJzL2Uyb0RvYy54bWzsXd2OYzeOvl9g38GoywU27fPjY7swnUHQ&#10;SRoLZGaCSS3m2u1ytQtx2V7bnerM++yT7IvtR1I6pixKxyk7maT75CKuarO+Q/FI4keKkv70549P&#10;q8FPi93+cbN+fVN8MbwZLNbzzf3j+v3rm/+++/Y/JzeD/WG2vp+tNuvF65ufF/ubP3/57//2p+ft&#10;7aLcLDer+8VuAJD1/vZ5+/pmeThsb1+92s+Xi6fZ/ovNdrHGlw+b3dPsgF9371/d72bPQH9avSqH&#10;w+bV82Z3v91t5ov9Hv/6tXx58yXjPzws5oe/PTzsF4fB6vUNdDvw/3f8/3f0/1df/ml2+3432y4f&#10;506N2Qu0eJo9rvHQFurr2WE2+LB7jKCeHue7zX7zcPhivnl6tXl4eJwvuA1oTTE8ac3b3ebDltvy&#10;/vb5/bY1E0x7YqcXw87/+tPb3faH7fc7WOJ5+x624N+oLR8fdk/0CS0HH9lkP7cmW3w8DOb4x7KY&#10;1qMGlp3ju2lRjsZFKUadL2H56O/my286/vKVf/CrQJ3nLTrI/miD/WU2+GE52y7YtPtb2OD73eDx&#10;/vVNdTNYz57QTf+++BGd9v1iNaioNfRwSLVm2t/uYbFzbUQmqkaRidqGzm63u/3h7WLzNKAfXt/s&#10;0G25N81++m5/wPMh6kXoofvN6vH+28fVin+hobJ4s9oNfpqhkx8+sv3xF4HUak2y6w39lQDSv8DE&#10;vin80+Hn1YLkVuu/Lx5gEXrBrAiPx+NDZvP5Yn0o5Kvl7H4hzx4N8R/Zi57u1eLfGJCQH/D8FtsB&#10;eEkB8dgC4+TpTxc8nNs/HuYUkz9u/4KfvFkf2j9+elxvdhbACq1yTxZ5byQxDVnp3eb+Z/SX3UYm&#10;k/12/u0jXtt3s/3h+9kOswdGA2ZEfLvc7P55M3jG7PL6Zv8/H2a7xc1g9V9rdN1pUdc0HfEv9Whc&#10;4ped/uad/mb94enNBu+2wFy6nfOPJH9Y+R8fdpunf2Ai/Iqeiq9m6zme/fpmftj5X94cZNbDVDpf&#10;fPUVi2EK2s4O361/2M4JnKxE3ezu4z9mu63riweM9L9u/HCZ3Z50SZGlv1xvvvpw2Dw8cn892snZ&#10;D0NXhtGvPoZrP4a/XTz9OFsfBvULRnBRN81k5NyDOdeNRuVwNHJ9xc+UfpA62y03T4vvV7MDTTSR&#10;5Wi80z/3I/PhWiPz8PHdRwzeY+e74iBtB2gxKScT/CYjFD98OqPTeX8hAkevCNclXvHt7sN2uxhw&#10;ryfn/AvIw7gBW7sZgCTUZTEcRkNrOBrXJEA0op4Ww6qc0Nia3bY0YjJsamgiCMXkSDM8oSiqYVOO&#10;4cIJoyrwmLIJxucpoUg0tzlpLoOEzSXFmCh9t5n/uB+sN2+WxBa+2m/huWkqJRdy+icBnfEkp2VX&#10;RV1A/bh9fvIphvV4DLOdtk5ZKAVx5FwpkJaKnJroN+Bc5Pqke327e1z+3/+u7/dE9wf4dzeWHfMi&#10;o++3bHExb8vJZMgTJRu8e/7L5h4EbgZfxLOun5odia2aaePM3JRFMym5M4NcOFZaTKtm7LhaM4UL&#10;8HzG48w/CFUjbbwvRGe4B1HjXnHvGnOHZj08rUAH/uPVYDh4HhSlI8bvWxH4cyWyHBAn4E5/FEGP&#10;aEWqqQ2DLt/KFKNyYALBLbZCk9oGQrtbmWpY20AYHq0Q2mQjjZVQXYxtJISG3UhTJQT72EiFNva4&#10;sXUqtLkxVySgzrF4EZh8ktJK2zyllLb5qEropG2e6kva5EohDO22c86WEk5gzvi4dh0WP4EuIqIU&#10;Pr3d7Clmo96LWfTOk2FIUe9OCMu0dcehEp6XF4ZRCNlTp7wwGk7CYzeP54XRn0h4epYwdRlu4XlN&#10;hLsR8fMaWbhWFuc1s3DtLIKGiinde6KY8DSJsQMLeX3zTuYMMHl6vfSa6MfBM/wQppzBEg4V8wr9&#10;+9Pmp8XdhiUOJ5E5nnX8drXWUhWGICyFmcUZ1n/tP7cMNpEmY97IirFOgMOscJ6czInQzz/Of8pj&#10;x2I6jOcsnG8EmBs5jxSagI38S/aP8p/ySOk5p0Dz1Wa/EGyyPz+kfSf0KpXjCELzNlLuCODpjbqg&#10;95fH/xSZfD3bL+UZ/HwyxOwWKab1Pf+0XMzuv3E/H2aPK/mZTeWCOEl6KHr9q4W5PoA9nIavVwxZ&#10;Ofkhwbxr328XpJbwRSbp4dmILHxN0oP8wsSTnulwNBFSo0jPpC48tazL8bBi7o03fznpwczGnevI&#10;aLQXJj9VNjxhk5vy1AmzVksMJuTMY5TAAU9tGExILUw1tnG0+52S+zXUwaTQ4jQJHO19CwiZQAHh&#10;KZgRxC3ThAfK2EgB4SmGCSMFjCeNpc3dML2ItQoZT1KtwOQpqMDmk0QDtdEL+93BgxxfTDlKAGmj&#10;pzTSNld9EiOg504GOfwDcKckVy0cSywCmkj+uaXEL6JaGDJEtWj6eDnVEt1a1Tzt8J9CPyp0exCo&#10;aZ6kNCKFuShLeGhqJTQ37bG3F/IXPhRzzFlytBREZFEm9SRcJWJT72j8w/yntBSuglTzHNp/6T97&#10;NrYLkp09G+tcUfXrGI5huWU/CpNMNsYRz7XZWCpN51NQJf7zbAyLwtPqijmoOMF0SseKchzlqTRB&#10;YBcaw2g+Rh7UgtHkgF16DKOpwZi4j4WjqUFF1CDG0cygGKWANDUoOJMVI2lqUHEmy1Ip4GNlQqmA&#10;jtVIU9nNo1RDyzcl5xerFfCxpqJcnamXtvmIaaKBFVqdEogmlrb7JNVGbflpTezOxApMP2RSbSim&#10;jQ8PlLIYpZBbixXVyO4TFHMdpUq8JVs3mg2Ockg5mj2s1D2emphC02+gqBKvAD5OPbNskmj6HRTD&#10;VEv1SyiwrpDSTb+FceIllPolTOvUWCKP3loNiUzTaJV+BeNpqpWVfgOp11npF5AeAZW2f5l4mVSd&#10;0SqfHpmVtj4n4+M+S+yshUpPGAixj2KJqYdyVi1UehaDDkexRAPr0PCJ/lBru6eQtNn1TN8HS3Ym&#10;/dMLlpKxFc3DIOx3mGklEZrP19NEy+I+kukQx0hmcR8PdIhjsLK4D4A6xDEgWTyIC5NNdQHMHWa0&#10;c5pKMxqhY9I6S9w1FfPSWeKuqZh7zhJ3TcX8co44zS+kO+aQs8RdU+ugqZcH2KQGAmxmEy+PsKUt&#10;p7n7MKLEXIn2jr11/Jf+00XhLIRZ2RnFf+s/XQQrxoAfyIoRmcAj4XmyYm4RA84uKzaS9wv/mhWb&#10;yENB0rJixRAeDcoR/8oLkhclQVCrvKDrUZ4YJrMEoEsOEdlr6XvevP7TmXnoHg2ukxUcS1tAY7Ji&#10;WACSLpB/rGtw1/tw02LX24W3h/U6u4pYpKPfSTfv6ML2WOjXsa5YrvnJr2NhoJiZE54Brp05qVAj&#10;NZERXE8aBDauXMZnTsZFTTMG1X8hCsSql3efF61j1RRlofQME5BepNKMmnjwZMSzshbB5N/y9wQK&#10;7NeKJFB0AMPBUKyLDl8aivYMZXTsUtLaUwyjQ5eiovjYwIGBW40LKiSKcXTcUvJimIETpExsfcKE&#10;ybCwFQrzJaZCQbZkxNkSSyNt6YRGoaUpGLaAtK0TNgoWrybDhLFpteJobUoexNbGcsFRBtrYOoU5&#10;EhspyJBMRgl7B/kRioJjlYLkyAQWMM1UansnNNL2TloJdZ5HC1Bm0dBI9+2G1y+NF4ei0yMQBcAG&#10;kLZ2sisF2RBKhsRAQS6kTnXuIBXCOUoDSU8iyfEWJkLsOS3IgxQV5WcMKwVpEAwms3WhvRNA2typ&#10;CVLbW82QfbqhTzcIge3TDVH15h8g3XBxQgDzIOUDaH6y0gH0NXigj/RTxY0nYj6s9J8u1hesJh9b&#10;khdi5tkV/bIY5ulsCCpg8AtZKYlT4YayUoIFr5eVcjWr8LJ5MUzaaKbzC+nY3YvlG4DZncDw7Fx8&#10;77C6NGOsrmbKpNFlMjFsl/ldVXDXu6TVHe4ZHekEyfp1dLNEj+3D9j5sN7aQJwoe0NPMsJ2H4dXD&#10;9qbCdiwZnGVVFPiZY2kftpd1Xfs9N1Psubli+Wkck5+G7Q3WN08iex22F7wMFsNoyl1TfGPg6PCm&#10;5IKHGAczwzG+Q1huAunwhvl2EQNpvl1iQd0E0nxb1mhjIM23Sy6JNZoWBO9jXoaOkYLwveJdMhZU&#10;aO6EvYMIHptz7faRC1PmTGFpo4/wZkxbUWHcEatOvL8gjB9xTYfVRm142qKF1XHDXtr0TUG1EwZW&#10;GMgj3DexglAeKAmswPZS6hDrFUTzoykV2lp6BbYvEn0iKHQYcYRpYWnbow/aTdRdvm5S5tKml+pt&#10;o4Xa8hVqW8wWBkF9zeUSMVQQ1pcpYwVhfclFIQaUnmSSYzqI66WKyYDSXR67QBMN1GZPDJ6gvoHi&#10;cff6+ni8j8f7eBw1BtZuyn9FPH5xgE0eiiJsGuBWhB0uH6YCbFf+UucDPHJXFCG1O/Z9AO4/XSAO&#10;jSCGuTAbLrrlW7CXrBhxTqCBmWTFaJmJ5MA68nJunReMIi9HxVjAA1vIy2HDJcmBCXTIiVWOE7E3&#10;mv90i+Ru2R0ePI+HTausH3ptLiiHdcUsefXcRgR41SxaDW+OxsJjZsUoQ09iHT3AhRvwdFm0sAt7&#10;c/WhdB9Knx9KY7CYoTT342uH0jhFpXYr4GOU2bitAcednKOymmCE8Ar4cHrFSFoK1/TidhRIZ+No&#10;rCY/D2IQzXB5US7eDKrDipKinRhFk9sEima2TJJjFB1OYJ0dzDZqkY4liB/HIDqQYHbsc66f80bC&#10;i6kI7MxM5BIiQhjkTf0L8bO9/xQnSWvS3VLOvbTlmR7DfwpW7138WXn9zrSX7kzDvGV6F6aO1/Yu&#10;qJmqxm4AFKOqkvqpo3eBc6E8HHsXVDNeM09LNC3nXYTKawmduuK9GFGFlnYu2P+/HMQg2rnYINq3&#10;8PFDMUjgWyTvddoc7Vs4pxqjaN9ig2jfwvtwYpAgLysZnFNVgqwsuShB6fM3duju4tc7mE2CId5G&#10;cLFHoxgLsTVs//LQGv0Brqot+vfOx3+KExIhhH65UM5FfG1P8BD+U6CgMp7XUTrdO73e6Z19wHVi&#10;dRKzpen0OOtzbac3wuokJbXRtUfNZIpDFmXG9KuTTTlqVydxqGQzvE5VcTXlWGbKCQrt107jqrGk&#10;nbSIdn1JHO39aJo3cLT3q0ZU8Qq0U3+hHSC2r5pA2gNWBTlSA0j7QGw2NYG0Eyz5mEIDSPvBgrdk&#10;G20LPGEJd2nqFDhDvFtbK6L77VIgLcTYWNriJS/fWXppo+MAygSWtnrJy4oWlrZ7UdESpWGuYImy&#10;woZy0/JBpfE0pZY2fT0sbahghRLxuKlVsEBZc5G40cKg1pgrRI0GhuuTHLpbUNrwXABvQWm7N7xO&#10;ZkEFdk+M41L392ZMa4oWlO7xiY4V7MAe17T2bSAFq5OJsRwsTgIjgaS7O6c54lmBoul2SIyZjVo6&#10;aZsnumdQczzmWgoLSZs8YadgaTJpcdoh0mrOZRlGPwi2XjdcnW8oRQn1FopXzw2oYOs1girb5sHW&#10;64b4vwWljS5FEJZW2ugpL0NVZEr1xMRXa6tju15CLd3TqyrRq7DN8PjEokmMGrDLo1SJyhKzr9Px&#10;KK32SInaeo20Ky1RkWBj6d5e4sQK0/S0pNQ+scBJGjaWNn05oToP4zXi2HiFhXPgbCxt+wruxMbS&#10;tk/5CdoQ2ipfccmIpZY2PcfLRuei852OUKne1WjLq77VB5m/JMhMbj536cc7JGNUTJoWR68Eu727&#10;6DDaNDo6F6P7xGrHPnsJEPui/T9i0X6yE7il5cvOCEijuw4Mp3VOfyevRT0SS8pnibsO3CY28h2Y&#10;fA+hw7ucg+4W8e/aM4U70F1T26tFOsRdU0fnNdWdDHDX7h7Po7vD/O4wnaumXpz7It9DyS9yL1b2&#10;i7+HiX3OKlVacirns1X+U7JWCGz5hbXZav+1/3RitI0SD8UJAdJW/7X/FDEEpSyGuDMvR0QGcIgp&#10;83LudAXEi1k5RIqMh1gwL0cUH89FnJeVw8mLJIYYLiuG1TIW69is4vYk0C1XWePJm0BclRVzG1HA&#10;4LNiYD70vjDac8+URzomg67rX6f/lNcqYxpxTBZLTIsYJSslenVp7yqeEFtkwXzNjqw0J/VvQCnp&#10;dXaUKNHA47ee75Rg+iwHLp9VDiye5cDTs3Jg6CLXMhBvff/pBhfFCNAP/DqPNwFnJzk5pzhpFbBm&#10;lusYM2DELNaRSU9NN325UF8udH65EHqkmdvmHv8r5rabKVZ0Txd0cVujP2m0Go6n7TC+6LwMzhjx&#10;xKFz1qcRIS5FpDGuRXQgzgmsCCQIwiluNlAwltsAlRMWEUoQfvN5hrEucBstSsGZqwhGR968ucVQ&#10;Bm+7heHDB2VG1a3WUbdsuTdwgmy21FJF+oS57AmlOywkbWXkapBViJECOyPIt5G0pSWRFiMFtm5o&#10;q42lU2BtTn7FSNrcBVLBNpI2eAJIG3yS0ChIYduvP0xgp3C0te2BEWSvKVfiDASv9jnXjCWDQXtB&#10;Pi0uVOHzzZWgHyHKu+AWITruA9EadUsrWhPq7AllKlYTGt7B14R1dhx/T9McuF9H0b6rxceEmmWS&#10;riiwmOQJLJmA+Kb4iSTfdJy+aONlT2/9p9BcV22BSSyrm1D6iY+9PYb/dFisWHs0o//Sf+roxr8i&#10;/13PW3veej5vhdc0eStHzNfmrc1wPD6WuU8bkFTmir4mo56WbSHiEFGeDxcv56082jQ9O+WtiLQz&#10;tFXW4CMQzaewuIfS8gglIFNcLB+haC6VQNFEiulGBKJpFLEN0eTTIxuXuz28edr9NrrA67lkXGtj&#10;P/X6T5f2QPeAd+mQCv2sR+gn8X4SP3sSpxIRaxLHv2NOu/Ykrgrrmsl40t7Y7CdxHATiJ/GmoUt3&#10;oQNG7cVzOCfmc1M4ai0yUziFxBGEnsDlOtsIQ0/glHeIMPT0XVPpVKyHnr5NPfTszZVcMYaOgMkF&#10;RHro+JcvwYgxgnSDCRIkG8iPCMin50eSgSXsjEn7zq8Y5FfS7KD1Yh+F7gAXBdNfHJhxL4E+3q/4&#10;T/FQEpi1r9h/6T9FSGKkjnUn8WLIechg9wj+s49Xdv2VXl88Pc53F9aQE/MyXR0T4qu7ugmOnsa8&#10;igkBP4xGKNBhD+NdnT6YejJ2afhr+DpJIeScXSELy1pE5yTJy8QggbvjPHuMov0dZ39jmMDjcaI9&#10;htEujxPbMYx2eqgJR4Y0htFeL3GSrPZ7QLBxAs+HYlTLOoHvSyNpMxf2GcDEf9r1Ab793WhaeKgV&#10;JaNjE1FKqQVicmEBaVuTVzdwtK05GS2m7v36H7Zw72KSgV7C+V/0hItpBi/rJGmGy592VGG4nC0K&#10;cXIcgrSmlG3bfz3F8J9CNVDLcY4YDVSgtUVcHsR/CphLTXfwpD6Q/5R3yOFW+fe373fbH7ZE5IIf&#10;caW7u3AUs6yQk7e7D9vtQmI0kobIW/rb70ED4bLpx+828x/3g/XmzRI3MS++2m8X8wP6NXf+0z9p&#10;Hyh/70PpzcPD4CMtmTRuVNQT3Pfr7/n0JKWohk2Jmive340bSEeThmk6IqDl3yKEpp5OUf7DNGe+&#10;/ObjYTCnR4zrMVUn8xbxZjyenqRmj9YhDYmGPe+3g49PqzV+2u5f3ywPh+3tq1f7+XLxNNtfgwmC&#10;GVhE8Fept8BsM3YmHhXYSyjHGh830BfTSXtDCXHC6yU9Cl/a8f7eNffuNHNd+yz6UURTFDnhMobR&#10;FKUYUfLaANJkENd04rzGGEhTlGpIdNAA0hQFGDaSJik1X/xuIGlGmETSnBAYtk4BJ8SttGbrAlKI&#10;Q24TUOdYPGCFBZ9GabQvoIWUcDJMHtBCvhnEAtI2J1poAWmTKzP1vPDz5YXUTTj9hHnl5cTQHYaH&#10;mSVL53D3HBEwzBtZMdYJcpgVzpOTOTHJSHGDGj8WoztLNjHXEtnsOOMOg4hIZJ64/vr0kF7WbLVd&#10;zgY/zVZ0lh7+c81jv7t4s4Jzhk32m9Xj/bePqxX9xWo9eKaafPo5+KL9G4E7fJR05C9/wna3P3w9&#10;2y8Fh59Bas1ud5sP63v+abmY3X/jfj7MHlfyM78+aEx8Ys/ciX56t7n/GXyrP3vohWcPoetbxOlX&#10;WfCvsFkSJz/y8JhMce8jP0URJ8maMa+sqwZLS67Deoo7/7A/vF1snrhv/4RqJ+4ubQHdkfJgeLWJ&#10;EnZ2cS7plDi58vZUCo12ZhrZFs2bUPq5HBgwmjZhx6WJo2nTlHJxBo724Lzh3tBHe/BinFAoIE28&#10;59RA0qQJytgqBaSpAN0zGxewpjSWZk0oIrWhtMGLMeUJDUsFrKlKdQBtcxz/moDSVk8haavz8f6W&#10;TtrqKSBtdKVQT8D+sAQsubKIGYkmwru2EJLXFvGmL6vjpJFMfI16IE2Tx1JNa9Xt+G2Y4xLdUF6Z&#10;40PuPJ1pPt3nNpdhMsqCsd6whxs57OzvNtSCUDNMMmy3LjnanE5kDSfdZdsgRMxdMpp8qkh1nFvd&#10;c7qe0x3uPv5jtkNWkGmqkFP3C3Jgv1EyjLyyRerw7xgLxJqRgfTpx73kHmmQBN94mj149/yXzf3i&#10;9c3sw2HDU4pnY1HCcTQshhV2FQLrSOpw1TXCL8kVTsvhSaoQ091LOZ3MTpqvnVI6HOQluhyJoeYY&#10;OJPjeRCjaIYxLsEKDBhN6XjHTwwTsAu+fsbA0eSCiViMo7kFLlWy9TnlFjGMZhaoXzVbFbA5oigx&#10;TEDliKG4RvUM5ZcwlIu9PF4Mr9ahg7/cydPdR3CRskKQdH30KHKkMpaSYo7OuGu/kmIChrqNnFMW&#10;oVO+cM0iWDLaL09d9MkR6gzrD09vNsgoYbb91C++p0Uu05Fy5U/gLpEuu9SRYuxUPj1SDsv6dF0J&#10;q3UTysbKuf84ofCK+RHZi59zpk3t1gkTzpQD9hhGe1M+1M7ACbypXJvGC3dandCd0rqSAaTdKe96&#10;dWcMaCDtT0tewTGAtD/FahhSEXHLAo/KN3sbQIFLxcldJlLgVJEVsxtHnbFNaoFoJbACg8tVdfGb&#10;CxIk6HYJLG10OdTOaqK2esHVVIa1gvMpRxO+x83QSxue1iFte2nTN3K9XIxFc9XRXjjMzcSCWztK&#10;oXW27YMTKguUXtlY2vbNMNFGunzgqJek3+LeRQO9lRrJ5ZNGG7XtcQ2drZbu8vU4pZY2vaQXDa20&#10;5asp8UijRwSHVLor9KIBTbWbbQMrPmXUgtKdHhccmg0MjqksmSNbUIHdE10+OKeykBs2Y7PTTtFW&#10;d87lxaYKzqkkpuxUAjVqE9azpc9hH5M++Mm6XEw4EZb7hThxsiiZW4LRQNnufPo8LwyzkLBfSssL&#10;o+Ek7AvJ88LoUSTsF/PywjRTknS7CNch7tqIZfRzLEITHqOf10xHje/a8586lHEtDXN56dfjmtpS&#10;6jw6TT6ke1tP3yHumtoujnaIu1cqcTt6Z4e4a6pcqNspTlMB6d4y/jz6H/QKPdgEKVca4BdEY5gP&#10;YamOg65cXyha8/vsqP+ULK/byg5+kw206IxSPLPquH8eJyuxmKzXJWM7cBJpQsdJTOAbLAdGkdUO&#10;XELk2pyRb6T/dAWZrhlgAnk8TNLUjuNE7HH8p8NDaSfLDf2OY/+9/3RyLuaFd84+13F6eN6smEuU&#10;w6tmxdwVevCYWTE6ThpthTfMirmSV3i6rJiM4j4i78sV/tWpbUwdZkTOU8m1I3KUbiJlLZMBjpZG&#10;eE6j5Jjbxr9gbpKAHMfptVzEZ8hfnNuWmVGHrZotE5sc8yyhJTBptZz0jIv4xkTeYxRMuS1KyUdu&#10;s2X1g3RkkkDR/FgO1opQdFAip4lHLYJpW12IZcdW0eHI0SqfOcUWUnbJWUAYZOAz6BwvpzMUk8H/&#10;SAdLUgZ3EV+HFOVHiKbkF5p7H9Uvv/4+ll8xh5o+imnitX1UMcRJu8LjsSO1xuaO0Efp6/yQQL6e&#10;j5JjXrVjOPVRcsuzltA+ShJyouwxp4xpo53z5To/jtg1iHZRNoj2UNjxgNvvIpDAQ0ni7FQV7aGQ&#10;W7NQtIciZxnbRHsouc4vUiXIEUs26VSVIENMjk4a9Jk7umSCxc4lXewXaaMF/CJs/3K/KCFoxyHE&#10;ItRx3htpA6/Y9gQfnPpPCVIlhO7YbNm7zt51/j5cJ/q06Tp50ry260RpUuEOGa/1Tke/VxJ336J4&#10;ycV3tB7bplQvCvDoSjVsy5cEjnZsp/5zDOU43jy6R+1Akzjah3KUF+NoH1o1fG5BrA+afvTFtCpp&#10;KKT9KI68sBumPSm21plA2pWWU3KDhoW0N0VFio0U+NOSFxENqMCl0k1VplbBoistF5tqURattVRZ&#10;lgksbXR0vQSWtjrdjmjrpe1eyJEa8QsMFl0ruVMu7guUxmy1p0J4u43a9jUvnBvdIVh0TTUxWHOV&#10;BUkLKujriZ4VnKs8SrUwWHItaQuG0SGCFddGbpyMjYUaYGWsxMChmxVai+K6UfsdltruKaW01cd8&#10;tLZhqmDBNYEUrLcCw9aJFmBazRM9gUL7VmbMZ1RaOgW93TZ5sNqabp02eap1ocVpjdvSSVtcjrOJ&#10;B014K6Bc3Bb3g/hWQKNL0bbH1lIjPs7c0IqWG1opXNdo9k6sLR2FcFWt3UBaMWmhuB7A0krPMDXv&#10;0ba00lbHqQEJtbTdKy6fsLC03QtcA2o3Uff1kg9tN7ComLhtYslbjow2hrcC8s4sC0tbvsTRPKZe&#10;4a2AcJZm36LrRY56TRJtpKWqVqpI6qVtX3Ea1mqjtj2XdVhN1KavmgTzwFVRR7Xk/t+4ywe3AkIf&#10;21rxrYCC1MeqdmGHHaumQ1t0WUR9n+9J90nLuFzyXUvS86UG5MjJkJ9t3UPSkHR3LlmmPeQxb8j+&#10;VkAqmbFqtvpbAQ9U4EbJsu3ssKSTBciN8doSnIKVROPv0fl8qUFqg6KXy9dKILLlrtz2ZJ8b85+S&#10;I6OjGqnH4xwIqSXzX/tPEUNUymJdWyEQcoqcnJyUXvxy61oIGLPPRajIeHQrYU4/hIEsh0AvL4eD&#10;IKi5COKycu6xXXUrfvGh46kUE+GhCKyyD3UFKQiasmIChpDhHKmWgPj36T/lvYo1EMhkseQdnPfE&#10;pqNiiQJgtkX+RflrAWHh3HvHdYD8Ottzpnzz/Kc0E4liFus6XMWV7IHMZ58KGs94IOpZOVB0kUNq&#10;INcK0G+WK9pdDV59/+lGobsyAuQ5iwfazHgdVVegxCzWcXGon29On9lvSsI7nd32J7b8hrt7MdzN&#10;HDlPJr9ijnw0HdbD0zNbRjizBXyR9iThPDS6aFAG+UUZcko2yBJZLj1eyMkDWkTH85RIiUF0GqWg&#10;LIqBoiN5iuNjlCCKp2STgaJjeOxJsGB0AO8uF+SXqJuk43dOWcXa6OC9qPjs5Ng0QVZc6sNcpcBx&#10;dSHMifMmHaNhQU6cD7SJVQoy4sCwTRRsQ0La3LIRLXMeMyZIYJjGpoL9oxQliw2dtLkLzhVbrdMG&#10;TwBpg7vLBaP3FmTCKdcfKxTmwWlZ39An2HpkD4wgCa5g+pSLHZf1KZdUxGpvNbm4cAJdn4I+6t1W&#10;0CcE3HuOVMgnLFcqbJIxlXBSrGjlqCZNYPBXXZcLCknHhJoFc0HX8XoyT1f9p9BWMgGe6QZ4Un+/&#10;vwOsNNsCF2F2xFwi1UHQpZmINXIPDF+Rb1rPfmGznv3y+c6/1dk2GEcm+2Uyc3X2iz1F5MgpWC9L&#10;1IucFFcGVxTW4zYCv5z9clCteSCGaUtwyMcj6ufOd2Rvmvyec0UhkbIYRZPfkjcARKpoRob1SgtF&#10;0zEmLREI3qPRnk+PslzuPPHmaXfhJb6TFv+pD3OfSTsfyZh0SPWuoC8W/H0UCyJSM10Bs7+ru4Jj&#10;sSDuTKgpIcjzry8W1Bcd4uIFnzy92BPEQfrJxCl5Wu0qtCOg/EUEESRBxpjAYwztBkwM7QS47iPG&#10;0E6AsjGRHtoH1OTUYgwdjZMjiTB0LC63BERbzYLUhwkSJD6Oinx63ii56As7w0FcdFbDxZ4O3QGO&#10;Dn3g5UEiICjK4l6S9HMiJH0tKSTh5llhUVtx4OMi/ymhX+8we4f5+3CYmCtNh8lrrVd3mCgtdGuO&#10;TVGRzwwd5hhHGMCJ8GlmVz0YVJIi2iGexk5uBV+LnPrMGCRwmpzQlvNbNIr2mpzPjmG03+S7aAxl&#10;tOOU2u4o2NOuE3fxIHUca6N9J9LdKG6MYLT3BIKNE/hPuXcxAgo8aBpJm7ngixdjJG1ovorIaFqw&#10;ciBl+TGQNjWfoGUBaVsTN4htFFTRc3pdTN2zgz9sev1iqoJewhlt9ISLyQp33CQPcRnhdmHVcwv/&#10;6dLLGDQgPrhAJ5fFJa2JHrX914P4TwFzFT1dYu5MLVQ75Z5JEwOe2XFGTs+Reo7UxZGO1wryWeXt&#10;rYv878/v6WQa+OLdbLt8nH89O8z07/wXt4tys9ys7he7L/8f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DxGEdyVSQAANME&#10;AQAOAAAAAAAAAAAAAAAAAC4CAABkcnMvZTJvRG9jLnhtbFBLAQItABQABgAIAAAAIQBP95Uy3QAA&#10;AAYBAAAPAAAAAAAAAAAAAAAAAK8mAABkcnMvZG93bnJldi54bWxQSwUGAAAAAAQABADzAAAAuScA&#10;AAAA&#10;">
                    <v:rect id="Rektangel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o"/>
                              <w:tag w:val=""/>
                              <w:id w:val="-650599894"/>
                              <w:dataBinding w:prefixMappings="xmlns:ns0='http://schemas.microsoft.com/office/2006/coverPageProps' " w:xpath="/ns0:CoverPageProperties[1]/ns0:PublishDate[1]" w:storeItemID="{55AF091B-3C7A-41E3-B477-F2FDAA23CFDA}"/>
                              <w:date w:fullDate="2024-08-28T00:00:00Z">
                                <w:dateFormat w:val="dd.MM.yyyy"/>
                                <w:lid w:val="nb-NO"/>
                                <w:storeMappedDataAs w:val="dateTime"/>
                                <w:calendar w:val="gregorian"/>
                              </w:date>
                            </w:sdtPr>
                            <w:sdtContent>
                              <w:p w14:paraId="23C6B9F1" w14:textId="0C873ED8" w:rsidR="0059351C" w:rsidRDefault="00F3638D">
                                <w:pPr>
                                  <w:pStyle w:val="Ingenmellomrom"/>
                                  <w:jc w:val="right"/>
                                  <w:rPr>
                                    <w:color w:val="FFFFFF" w:themeColor="background1"/>
                                    <w:sz w:val="28"/>
                                    <w:szCs w:val="28"/>
                                  </w:rPr>
                                </w:pPr>
                                <w:r>
                                  <w:rPr>
                                    <w:color w:val="FFFFFF" w:themeColor="background1"/>
                                    <w:sz w:val="28"/>
                                    <w:szCs w:val="28"/>
                                  </w:rPr>
                                  <w:t>28.08.2024</w:t>
                                </w:r>
                              </w:p>
                            </w:sdtContent>
                          </w:sdt>
                        </w:txbxContent>
                      </v:textbox>
                    </v:shape>
                    <v:group id="Grup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ihånds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ihånds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ihånds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ihånds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ihånds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ihånds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ihånds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ihånds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ihånds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ihånds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ihånds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ihånds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ihånds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ihånds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ihånds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ihånds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ihånds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ihånds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ihånds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ihånds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ihånds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ihånds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ihånds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58242" behindDoc="0" locked="0" layoutInCell="1" allowOverlap="1" wp14:anchorId="1BE63C30" wp14:editId="6A9FB3D5">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kstboks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ADFDBC" w14:textId="7C7F487D" w:rsidR="0059351C" w:rsidRDefault="0059351C">
                                <w:pPr>
                                  <w:pStyle w:val="Ingenmellomrom"/>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BE63C30" id="_x0000_t202" coordsize="21600,21600" o:spt="202" path="m,l,21600r21600,l21600,xe">
                    <v:stroke joinstyle="miter"/>
                    <v:path gradientshapeok="t" o:connecttype="rect"/>
                  </v:shapetype>
                  <v:shape id="Tekstboks 2" o:spid="_x0000_s1055" type="#_x0000_t202" style="position:absolute;margin-left:0;margin-top:0;width:4in;height:28.8pt;z-index:25165824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10ADFDBC" w14:textId="7C7F487D" w:rsidR="0059351C" w:rsidRDefault="0059351C">
                          <w:pPr>
                            <w:pStyle w:val="Ingenmellomrom"/>
                            <w:rPr>
                              <w:color w:val="595959" w:themeColor="text1" w:themeTint="A6"/>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0BC2EDA4" wp14:editId="5023585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boks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BC71F" w14:textId="666793A7" w:rsidR="0059351C" w:rsidRDefault="00D5714D">
                                <w:pPr>
                                  <w:pStyle w:val="Ingenmellomrom"/>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 xml:space="preserve">Third Country </w:t>
                                </w:r>
                                <w:proofErr w:type="spellStart"/>
                                <w:r>
                                  <w:rPr>
                                    <w:rFonts w:asciiTheme="majorHAnsi" w:eastAsiaTheme="majorEastAsia" w:hAnsiTheme="majorHAnsi" w:cstheme="majorBidi"/>
                                    <w:color w:val="262626" w:themeColor="text1" w:themeTint="D9"/>
                                    <w:sz w:val="72"/>
                                    <w:szCs w:val="72"/>
                                  </w:rPr>
                                  <w:t>Assessment</w:t>
                                </w:r>
                                <w:proofErr w:type="spellEnd"/>
                                <w:r>
                                  <w:rPr>
                                    <w:rFonts w:asciiTheme="majorHAnsi" w:eastAsiaTheme="majorEastAsia" w:hAnsiTheme="majorHAnsi" w:cstheme="majorBidi"/>
                                    <w:color w:val="262626" w:themeColor="text1" w:themeTint="D9"/>
                                    <w:sz w:val="72"/>
                                    <w:szCs w:val="72"/>
                                  </w:rPr>
                                  <w:t xml:space="preserve"> / Transfer </w:t>
                                </w:r>
                                <w:proofErr w:type="spellStart"/>
                                <w:r>
                                  <w:rPr>
                                    <w:rFonts w:asciiTheme="majorHAnsi" w:eastAsiaTheme="majorEastAsia" w:hAnsiTheme="majorHAnsi" w:cstheme="majorBidi"/>
                                    <w:color w:val="262626" w:themeColor="text1" w:themeTint="D9"/>
                                    <w:sz w:val="72"/>
                                    <w:szCs w:val="72"/>
                                  </w:rPr>
                                  <w:t>Impact</w:t>
                                </w:r>
                                <w:proofErr w:type="spellEnd"/>
                                <w:r>
                                  <w:rPr>
                                    <w:rFonts w:asciiTheme="majorHAnsi" w:eastAsiaTheme="majorEastAsia" w:hAnsiTheme="majorHAnsi" w:cstheme="majorBidi"/>
                                    <w:color w:val="262626" w:themeColor="text1" w:themeTint="D9"/>
                                    <w:sz w:val="72"/>
                                    <w:szCs w:val="72"/>
                                  </w:rPr>
                                  <w:t xml:space="preserve"> </w:t>
                                </w:r>
                                <w:proofErr w:type="spellStart"/>
                                <w:r>
                                  <w:rPr>
                                    <w:rFonts w:asciiTheme="majorHAnsi" w:eastAsiaTheme="majorEastAsia" w:hAnsiTheme="majorHAnsi" w:cstheme="majorBidi"/>
                                    <w:color w:val="262626" w:themeColor="text1" w:themeTint="D9"/>
                                    <w:sz w:val="72"/>
                                    <w:szCs w:val="72"/>
                                  </w:rPr>
                                  <w:t>Assessment</w:t>
                                </w:r>
                                <w:proofErr w:type="spellEnd"/>
                              </w:p>
                              <w:p w14:paraId="5942E872" w14:textId="2E986D59" w:rsidR="0059351C" w:rsidRDefault="006B0A33">
                                <w:pPr>
                                  <w:spacing w:before="120"/>
                                  <w:rPr>
                                    <w:color w:val="404040" w:themeColor="text1" w:themeTint="BF"/>
                                    <w:sz w:val="36"/>
                                    <w:szCs w:val="36"/>
                                  </w:rPr>
                                </w:pPr>
                                <w:r>
                                  <w:rPr>
                                    <w:color w:val="404040" w:themeColor="text1" w:themeTint="BF"/>
                                    <w:sz w:val="36"/>
                                    <w:szCs w:val="36"/>
                                  </w:rPr>
                                  <w:t xml:space="preserve">Google Workspace for </w:t>
                                </w:r>
                                <w:proofErr w:type="spellStart"/>
                                <w:r>
                                  <w:rPr>
                                    <w:color w:val="404040" w:themeColor="text1" w:themeTint="BF"/>
                                    <w:sz w:val="36"/>
                                    <w:szCs w:val="36"/>
                                  </w:rPr>
                                  <w:t>Education</w:t>
                                </w:r>
                                <w:proofErr w:type="spellEnd"/>
                                <w:r>
                                  <w:rPr>
                                    <w:color w:val="404040" w:themeColor="text1" w:themeTint="BF"/>
                                    <w:sz w:val="36"/>
                                    <w:szCs w:val="36"/>
                                  </w:rPr>
                                  <w:t xml:space="preserve"> i</w:t>
                                </w:r>
                                <w:r w:rsidR="00D5714D">
                                  <w:rPr>
                                    <w:color w:val="404040" w:themeColor="text1" w:themeTint="BF"/>
                                    <w:sz w:val="36"/>
                                    <w:szCs w:val="36"/>
                                  </w:rPr>
                                  <w:t>n</w:t>
                                </w:r>
                                <w:r>
                                  <w:rPr>
                                    <w:color w:val="404040" w:themeColor="text1" w:themeTint="BF"/>
                                    <w:sz w:val="36"/>
                                    <w:szCs w:val="36"/>
                                  </w:rPr>
                                  <w:t xml:space="preserve"> Taiwan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BC2EDA4" id="Tekstboks 3" o:spid="_x0000_s1056" type="#_x0000_t202" style="position:absolute;margin-left:0;margin-top:0;width:4in;height:84.25pt;z-index:251658241;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7DEBC71F" w14:textId="666793A7" w:rsidR="0059351C" w:rsidRDefault="00D5714D">
                          <w:pPr>
                            <w:pStyle w:val="Ingenmellomrom"/>
                            <w:rPr>
                              <w:rFonts w:asciiTheme="majorHAnsi" w:eastAsiaTheme="majorEastAsia" w:hAnsiTheme="majorHAnsi" w:cstheme="majorBidi"/>
                              <w:color w:val="262626" w:themeColor="text1" w:themeTint="D9"/>
                              <w:sz w:val="72"/>
                            </w:rPr>
                          </w:pPr>
                          <w:r>
                            <w:rPr>
                              <w:rFonts w:asciiTheme="majorHAnsi" w:eastAsiaTheme="majorEastAsia" w:hAnsiTheme="majorHAnsi" w:cstheme="majorBidi"/>
                              <w:color w:val="262626" w:themeColor="text1" w:themeTint="D9"/>
                              <w:sz w:val="72"/>
                              <w:szCs w:val="72"/>
                            </w:rPr>
                            <w:t xml:space="preserve">Third Country </w:t>
                          </w:r>
                          <w:proofErr w:type="spellStart"/>
                          <w:r>
                            <w:rPr>
                              <w:rFonts w:asciiTheme="majorHAnsi" w:eastAsiaTheme="majorEastAsia" w:hAnsiTheme="majorHAnsi" w:cstheme="majorBidi"/>
                              <w:color w:val="262626" w:themeColor="text1" w:themeTint="D9"/>
                              <w:sz w:val="72"/>
                              <w:szCs w:val="72"/>
                            </w:rPr>
                            <w:t>Assessment</w:t>
                          </w:r>
                          <w:proofErr w:type="spellEnd"/>
                          <w:r>
                            <w:rPr>
                              <w:rFonts w:asciiTheme="majorHAnsi" w:eastAsiaTheme="majorEastAsia" w:hAnsiTheme="majorHAnsi" w:cstheme="majorBidi"/>
                              <w:color w:val="262626" w:themeColor="text1" w:themeTint="D9"/>
                              <w:sz w:val="72"/>
                              <w:szCs w:val="72"/>
                            </w:rPr>
                            <w:t xml:space="preserve"> / Transfer </w:t>
                          </w:r>
                          <w:proofErr w:type="spellStart"/>
                          <w:r>
                            <w:rPr>
                              <w:rFonts w:asciiTheme="majorHAnsi" w:eastAsiaTheme="majorEastAsia" w:hAnsiTheme="majorHAnsi" w:cstheme="majorBidi"/>
                              <w:color w:val="262626" w:themeColor="text1" w:themeTint="D9"/>
                              <w:sz w:val="72"/>
                              <w:szCs w:val="72"/>
                            </w:rPr>
                            <w:t>Impact</w:t>
                          </w:r>
                          <w:proofErr w:type="spellEnd"/>
                          <w:r>
                            <w:rPr>
                              <w:rFonts w:asciiTheme="majorHAnsi" w:eastAsiaTheme="majorEastAsia" w:hAnsiTheme="majorHAnsi" w:cstheme="majorBidi"/>
                              <w:color w:val="262626" w:themeColor="text1" w:themeTint="D9"/>
                              <w:sz w:val="72"/>
                              <w:szCs w:val="72"/>
                            </w:rPr>
                            <w:t xml:space="preserve"> </w:t>
                          </w:r>
                          <w:proofErr w:type="spellStart"/>
                          <w:r>
                            <w:rPr>
                              <w:rFonts w:asciiTheme="majorHAnsi" w:eastAsiaTheme="majorEastAsia" w:hAnsiTheme="majorHAnsi" w:cstheme="majorBidi"/>
                              <w:color w:val="262626" w:themeColor="text1" w:themeTint="D9"/>
                              <w:sz w:val="72"/>
                              <w:szCs w:val="72"/>
                            </w:rPr>
                            <w:t>Assessment</w:t>
                          </w:r>
                          <w:proofErr w:type="spellEnd"/>
                        </w:p>
                        <w:p w14:paraId="5942E872" w14:textId="2E986D59" w:rsidR="0059351C" w:rsidRDefault="006B0A33">
                          <w:pPr>
                            <w:spacing w:before="120"/>
                            <w:rPr>
                              <w:color w:val="404040" w:themeColor="text1" w:themeTint="BF"/>
                              <w:sz w:val="36"/>
                              <w:szCs w:val="36"/>
                            </w:rPr>
                          </w:pPr>
                          <w:r>
                            <w:rPr>
                              <w:color w:val="404040" w:themeColor="text1" w:themeTint="BF"/>
                              <w:sz w:val="36"/>
                              <w:szCs w:val="36"/>
                            </w:rPr>
                            <w:t xml:space="preserve">Google Workspace for </w:t>
                          </w:r>
                          <w:proofErr w:type="spellStart"/>
                          <w:r>
                            <w:rPr>
                              <w:color w:val="404040" w:themeColor="text1" w:themeTint="BF"/>
                              <w:sz w:val="36"/>
                              <w:szCs w:val="36"/>
                            </w:rPr>
                            <w:t>Education</w:t>
                          </w:r>
                          <w:proofErr w:type="spellEnd"/>
                          <w:r>
                            <w:rPr>
                              <w:color w:val="404040" w:themeColor="text1" w:themeTint="BF"/>
                              <w:sz w:val="36"/>
                              <w:szCs w:val="36"/>
                            </w:rPr>
                            <w:t xml:space="preserve"> i</w:t>
                          </w:r>
                          <w:r w:rsidR="00D5714D">
                            <w:rPr>
                              <w:color w:val="404040" w:themeColor="text1" w:themeTint="BF"/>
                              <w:sz w:val="36"/>
                              <w:szCs w:val="36"/>
                            </w:rPr>
                            <w:t>n</w:t>
                          </w:r>
                          <w:r>
                            <w:rPr>
                              <w:color w:val="404040" w:themeColor="text1" w:themeTint="BF"/>
                              <w:sz w:val="36"/>
                              <w:szCs w:val="36"/>
                            </w:rPr>
                            <w:t xml:space="preserve"> Taiwan</w:t>
                          </w:r>
                        </w:p>
                      </w:txbxContent>
                    </v:textbox>
                    <w10:wrap anchorx="page" anchory="page"/>
                  </v:shape>
                </w:pict>
              </mc:Fallback>
            </mc:AlternateContent>
          </w:r>
        </w:p>
        <w:p w14:paraId="522427CF" w14:textId="209F62C8" w:rsidR="0074041B" w:rsidRPr="00190FF6" w:rsidRDefault="006B0A33" w:rsidP="001D358F">
          <w:r>
            <w:rPr>
              <w:noProof/>
            </w:rPr>
            <w:drawing>
              <wp:anchor distT="0" distB="0" distL="114300" distR="114300" simplePos="0" relativeHeight="251658243" behindDoc="1" locked="0" layoutInCell="1" allowOverlap="1" wp14:anchorId="22C455D7" wp14:editId="403788E3">
                <wp:simplePos x="0" y="0"/>
                <wp:positionH relativeFrom="margin">
                  <wp:align>right</wp:align>
                </wp:positionH>
                <wp:positionV relativeFrom="paragraph">
                  <wp:posOffset>7555593</wp:posOffset>
                </wp:positionV>
                <wp:extent cx="2332289" cy="1168672"/>
                <wp:effectExtent l="0" t="0" r="0" b="0"/>
                <wp:wrapNone/>
                <wp:docPr id="355020768" name="Bilde 1" descr="Et bilde som inneholder symbol, logo,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20768" name="Bilde 1" descr="Et bilde som inneholder symbol, logo, design&#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2289" cy="1168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51C">
            <w:br w:type="page"/>
          </w:r>
        </w:p>
      </w:sdtContent>
    </w:sdt>
    <w:p w14:paraId="1E51E7AA" w14:textId="4EC8C4CA" w:rsidR="007C0DBE" w:rsidRDefault="00ED5184">
      <w:pPr>
        <w:pStyle w:val="INNH1"/>
        <w:tabs>
          <w:tab w:val="right" w:leader="dot" w:pos="9062"/>
        </w:tabs>
        <w:rPr>
          <w:rFonts w:eastAsiaTheme="minorEastAsia"/>
          <w:noProof/>
          <w:kern w:val="2"/>
          <w:sz w:val="24"/>
          <w:szCs w:val="24"/>
          <w:lang w:eastAsia="nb-NO"/>
          <w14:ligatures w14:val="standardContextual"/>
        </w:rPr>
      </w:pPr>
      <w:r>
        <w:lastRenderedPageBreak/>
        <w:fldChar w:fldCharType="begin"/>
      </w:r>
      <w:r>
        <w:instrText xml:space="preserve"> TOC \o "1-2" \h \z \u </w:instrText>
      </w:r>
      <w:r>
        <w:fldChar w:fldCharType="separate"/>
      </w:r>
      <w:hyperlink w:anchor="_Toc176427830" w:history="1">
        <w:r w:rsidR="007C0DBE" w:rsidRPr="003059FC">
          <w:rPr>
            <w:rStyle w:val="Hyperkobling"/>
            <w:noProof/>
            <w:lang w:val="en-US"/>
          </w:rPr>
          <w:t>1. Introduction</w:t>
        </w:r>
        <w:r w:rsidR="007C0DBE">
          <w:rPr>
            <w:noProof/>
            <w:webHidden/>
          </w:rPr>
          <w:tab/>
        </w:r>
        <w:r w:rsidR="007C0DBE">
          <w:rPr>
            <w:noProof/>
            <w:webHidden/>
          </w:rPr>
          <w:fldChar w:fldCharType="begin"/>
        </w:r>
        <w:r w:rsidR="007C0DBE">
          <w:rPr>
            <w:noProof/>
            <w:webHidden/>
          </w:rPr>
          <w:instrText xml:space="preserve"> PAGEREF _Toc176427830 \h </w:instrText>
        </w:r>
        <w:r w:rsidR="007C0DBE">
          <w:rPr>
            <w:noProof/>
            <w:webHidden/>
          </w:rPr>
        </w:r>
        <w:r w:rsidR="007C0DBE">
          <w:rPr>
            <w:noProof/>
            <w:webHidden/>
          </w:rPr>
          <w:fldChar w:fldCharType="separate"/>
        </w:r>
        <w:r w:rsidR="007C0DBE">
          <w:rPr>
            <w:noProof/>
            <w:webHidden/>
          </w:rPr>
          <w:t>3</w:t>
        </w:r>
        <w:r w:rsidR="007C0DBE">
          <w:rPr>
            <w:noProof/>
            <w:webHidden/>
          </w:rPr>
          <w:fldChar w:fldCharType="end"/>
        </w:r>
      </w:hyperlink>
    </w:p>
    <w:p w14:paraId="47313096" w14:textId="2AC0CF0C" w:rsidR="007C0DBE" w:rsidRDefault="007C0DBE">
      <w:pPr>
        <w:pStyle w:val="INNH2"/>
        <w:rPr>
          <w:rFonts w:eastAsiaTheme="minorEastAsia"/>
          <w:noProof/>
          <w:kern w:val="2"/>
          <w:sz w:val="24"/>
          <w:szCs w:val="24"/>
          <w:lang w:eastAsia="nb-NO"/>
          <w14:ligatures w14:val="standardContextual"/>
        </w:rPr>
      </w:pPr>
      <w:hyperlink w:anchor="_Toc176427831" w:history="1">
        <w:r w:rsidRPr="003059FC">
          <w:rPr>
            <w:rStyle w:val="Hyperkobling"/>
            <w:noProof/>
            <w:lang w:val="en-US"/>
          </w:rPr>
          <w:t>1.1. Description of the Transfer and the Purpose of the Country Assessment</w:t>
        </w:r>
        <w:r>
          <w:rPr>
            <w:noProof/>
            <w:webHidden/>
          </w:rPr>
          <w:tab/>
        </w:r>
        <w:r>
          <w:rPr>
            <w:noProof/>
            <w:webHidden/>
          </w:rPr>
          <w:fldChar w:fldCharType="begin"/>
        </w:r>
        <w:r>
          <w:rPr>
            <w:noProof/>
            <w:webHidden/>
          </w:rPr>
          <w:instrText xml:space="preserve"> PAGEREF _Toc176427831 \h </w:instrText>
        </w:r>
        <w:r>
          <w:rPr>
            <w:noProof/>
            <w:webHidden/>
          </w:rPr>
        </w:r>
        <w:r>
          <w:rPr>
            <w:noProof/>
            <w:webHidden/>
          </w:rPr>
          <w:fldChar w:fldCharType="separate"/>
        </w:r>
        <w:r>
          <w:rPr>
            <w:noProof/>
            <w:webHidden/>
          </w:rPr>
          <w:t>3</w:t>
        </w:r>
        <w:r>
          <w:rPr>
            <w:noProof/>
            <w:webHidden/>
          </w:rPr>
          <w:fldChar w:fldCharType="end"/>
        </w:r>
      </w:hyperlink>
    </w:p>
    <w:p w14:paraId="4521BD70" w14:textId="08C1C649" w:rsidR="007C0DBE" w:rsidRDefault="007C0DBE">
      <w:pPr>
        <w:pStyle w:val="INNH2"/>
        <w:rPr>
          <w:rFonts w:eastAsiaTheme="minorEastAsia"/>
          <w:noProof/>
          <w:kern w:val="2"/>
          <w:sz w:val="24"/>
          <w:szCs w:val="24"/>
          <w:lang w:eastAsia="nb-NO"/>
          <w14:ligatures w14:val="standardContextual"/>
        </w:rPr>
      </w:pPr>
      <w:hyperlink w:anchor="_Toc176427832" w:history="1">
        <w:r w:rsidRPr="003059FC">
          <w:rPr>
            <w:rStyle w:val="Hyperkobling"/>
            <w:noProof/>
            <w:lang w:val="en-US"/>
          </w:rPr>
          <w:t>1.2. Legal Framework</w:t>
        </w:r>
        <w:r>
          <w:rPr>
            <w:noProof/>
            <w:webHidden/>
          </w:rPr>
          <w:tab/>
        </w:r>
        <w:r>
          <w:rPr>
            <w:noProof/>
            <w:webHidden/>
          </w:rPr>
          <w:fldChar w:fldCharType="begin"/>
        </w:r>
        <w:r>
          <w:rPr>
            <w:noProof/>
            <w:webHidden/>
          </w:rPr>
          <w:instrText xml:space="preserve"> PAGEREF _Toc176427832 \h </w:instrText>
        </w:r>
        <w:r>
          <w:rPr>
            <w:noProof/>
            <w:webHidden/>
          </w:rPr>
        </w:r>
        <w:r>
          <w:rPr>
            <w:noProof/>
            <w:webHidden/>
          </w:rPr>
          <w:fldChar w:fldCharType="separate"/>
        </w:r>
        <w:r>
          <w:rPr>
            <w:noProof/>
            <w:webHidden/>
          </w:rPr>
          <w:t>3</w:t>
        </w:r>
        <w:r>
          <w:rPr>
            <w:noProof/>
            <w:webHidden/>
          </w:rPr>
          <w:fldChar w:fldCharType="end"/>
        </w:r>
      </w:hyperlink>
    </w:p>
    <w:p w14:paraId="3A6D4E73" w14:textId="474144D1" w:rsidR="007C0DBE" w:rsidRDefault="007C0DBE">
      <w:pPr>
        <w:pStyle w:val="INNH2"/>
        <w:rPr>
          <w:rFonts w:eastAsiaTheme="minorEastAsia"/>
          <w:noProof/>
          <w:kern w:val="2"/>
          <w:sz w:val="24"/>
          <w:szCs w:val="24"/>
          <w:lang w:eastAsia="nb-NO"/>
          <w14:ligatures w14:val="standardContextual"/>
        </w:rPr>
      </w:pPr>
      <w:hyperlink w:anchor="_Toc176427833" w:history="1">
        <w:r w:rsidRPr="003059FC">
          <w:rPr>
            <w:rStyle w:val="Hyperkobling"/>
            <w:noProof/>
            <w:lang w:val="en-US"/>
          </w:rPr>
          <w:t>1.3. Other Sources</w:t>
        </w:r>
        <w:r>
          <w:rPr>
            <w:noProof/>
            <w:webHidden/>
          </w:rPr>
          <w:tab/>
        </w:r>
        <w:r>
          <w:rPr>
            <w:noProof/>
            <w:webHidden/>
          </w:rPr>
          <w:fldChar w:fldCharType="begin"/>
        </w:r>
        <w:r>
          <w:rPr>
            <w:noProof/>
            <w:webHidden/>
          </w:rPr>
          <w:instrText xml:space="preserve"> PAGEREF _Toc176427833 \h </w:instrText>
        </w:r>
        <w:r>
          <w:rPr>
            <w:noProof/>
            <w:webHidden/>
          </w:rPr>
        </w:r>
        <w:r>
          <w:rPr>
            <w:noProof/>
            <w:webHidden/>
          </w:rPr>
          <w:fldChar w:fldCharType="separate"/>
        </w:r>
        <w:r>
          <w:rPr>
            <w:noProof/>
            <w:webHidden/>
          </w:rPr>
          <w:t>3</w:t>
        </w:r>
        <w:r>
          <w:rPr>
            <w:noProof/>
            <w:webHidden/>
          </w:rPr>
          <w:fldChar w:fldCharType="end"/>
        </w:r>
      </w:hyperlink>
    </w:p>
    <w:p w14:paraId="0E6766AD" w14:textId="777A674E" w:rsidR="007C0DBE" w:rsidRDefault="007C0DBE">
      <w:pPr>
        <w:pStyle w:val="INNH2"/>
        <w:rPr>
          <w:rFonts w:eastAsiaTheme="minorEastAsia"/>
          <w:noProof/>
          <w:kern w:val="2"/>
          <w:sz w:val="24"/>
          <w:szCs w:val="24"/>
          <w:lang w:eastAsia="nb-NO"/>
          <w14:ligatures w14:val="standardContextual"/>
        </w:rPr>
      </w:pPr>
      <w:hyperlink w:anchor="_Toc176427834" w:history="1">
        <w:r w:rsidRPr="003059FC">
          <w:rPr>
            <w:rStyle w:val="Hyperkobling"/>
            <w:noProof/>
            <w:lang w:val="en-US"/>
          </w:rPr>
          <w:t>1.4. Limitations and Reservations</w:t>
        </w:r>
        <w:r>
          <w:rPr>
            <w:noProof/>
            <w:webHidden/>
          </w:rPr>
          <w:tab/>
        </w:r>
        <w:r>
          <w:rPr>
            <w:noProof/>
            <w:webHidden/>
          </w:rPr>
          <w:fldChar w:fldCharType="begin"/>
        </w:r>
        <w:r>
          <w:rPr>
            <w:noProof/>
            <w:webHidden/>
          </w:rPr>
          <w:instrText xml:space="preserve"> PAGEREF _Toc176427834 \h </w:instrText>
        </w:r>
        <w:r>
          <w:rPr>
            <w:noProof/>
            <w:webHidden/>
          </w:rPr>
        </w:r>
        <w:r>
          <w:rPr>
            <w:noProof/>
            <w:webHidden/>
          </w:rPr>
          <w:fldChar w:fldCharType="separate"/>
        </w:r>
        <w:r>
          <w:rPr>
            <w:noProof/>
            <w:webHidden/>
          </w:rPr>
          <w:t>4</w:t>
        </w:r>
        <w:r>
          <w:rPr>
            <w:noProof/>
            <w:webHidden/>
          </w:rPr>
          <w:fldChar w:fldCharType="end"/>
        </w:r>
      </w:hyperlink>
    </w:p>
    <w:p w14:paraId="2FDAA69B" w14:textId="45AEE4C9" w:rsidR="007C0DBE" w:rsidRDefault="007C0DBE">
      <w:pPr>
        <w:pStyle w:val="INNH2"/>
        <w:rPr>
          <w:rFonts w:eastAsiaTheme="minorEastAsia"/>
          <w:noProof/>
          <w:kern w:val="2"/>
          <w:sz w:val="24"/>
          <w:szCs w:val="24"/>
          <w:lang w:eastAsia="nb-NO"/>
          <w14:ligatures w14:val="standardContextual"/>
        </w:rPr>
      </w:pPr>
      <w:hyperlink w:anchor="_Toc176427835" w:history="1">
        <w:r w:rsidRPr="003059FC">
          <w:rPr>
            <w:rStyle w:val="Hyperkobling"/>
            <w:noProof/>
            <w:lang w:val="en-US"/>
          </w:rPr>
          <w:t>2. Summary and Conclusion</w:t>
        </w:r>
        <w:r>
          <w:rPr>
            <w:noProof/>
            <w:webHidden/>
          </w:rPr>
          <w:tab/>
        </w:r>
        <w:r>
          <w:rPr>
            <w:noProof/>
            <w:webHidden/>
          </w:rPr>
          <w:fldChar w:fldCharType="begin"/>
        </w:r>
        <w:r>
          <w:rPr>
            <w:noProof/>
            <w:webHidden/>
          </w:rPr>
          <w:instrText xml:space="preserve"> PAGEREF _Toc176427835 \h </w:instrText>
        </w:r>
        <w:r>
          <w:rPr>
            <w:noProof/>
            <w:webHidden/>
          </w:rPr>
        </w:r>
        <w:r>
          <w:rPr>
            <w:noProof/>
            <w:webHidden/>
          </w:rPr>
          <w:fldChar w:fldCharType="separate"/>
        </w:r>
        <w:r>
          <w:rPr>
            <w:noProof/>
            <w:webHidden/>
          </w:rPr>
          <w:t>4</w:t>
        </w:r>
        <w:r>
          <w:rPr>
            <w:noProof/>
            <w:webHidden/>
          </w:rPr>
          <w:fldChar w:fldCharType="end"/>
        </w:r>
      </w:hyperlink>
    </w:p>
    <w:p w14:paraId="72366524" w14:textId="29B8C603" w:rsidR="007C0DBE" w:rsidRDefault="007C0DBE">
      <w:pPr>
        <w:pStyle w:val="INNH1"/>
        <w:tabs>
          <w:tab w:val="right" w:leader="dot" w:pos="9062"/>
        </w:tabs>
        <w:rPr>
          <w:rFonts w:eastAsiaTheme="minorEastAsia"/>
          <w:noProof/>
          <w:kern w:val="2"/>
          <w:sz w:val="24"/>
          <w:szCs w:val="24"/>
          <w:lang w:eastAsia="nb-NO"/>
          <w14:ligatures w14:val="standardContextual"/>
        </w:rPr>
      </w:pPr>
      <w:hyperlink w:anchor="_Toc176427836" w:history="1">
        <w:r w:rsidRPr="003059FC">
          <w:rPr>
            <w:rStyle w:val="Hyperkobling"/>
            <w:noProof/>
            <w:lang w:val="en-US"/>
          </w:rPr>
          <w:t>3. Description of Relevant Regulations in Taiwan</w:t>
        </w:r>
        <w:r>
          <w:rPr>
            <w:noProof/>
            <w:webHidden/>
          </w:rPr>
          <w:tab/>
        </w:r>
        <w:r>
          <w:rPr>
            <w:noProof/>
            <w:webHidden/>
          </w:rPr>
          <w:fldChar w:fldCharType="begin"/>
        </w:r>
        <w:r>
          <w:rPr>
            <w:noProof/>
            <w:webHidden/>
          </w:rPr>
          <w:instrText xml:space="preserve"> PAGEREF _Toc176427836 \h </w:instrText>
        </w:r>
        <w:r>
          <w:rPr>
            <w:noProof/>
            <w:webHidden/>
          </w:rPr>
        </w:r>
        <w:r>
          <w:rPr>
            <w:noProof/>
            <w:webHidden/>
          </w:rPr>
          <w:fldChar w:fldCharType="separate"/>
        </w:r>
        <w:r>
          <w:rPr>
            <w:noProof/>
            <w:webHidden/>
          </w:rPr>
          <w:t>4</w:t>
        </w:r>
        <w:r>
          <w:rPr>
            <w:noProof/>
            <w:webHidden/>
          </w:rPr>
          <w:fldChar w:fldCharType="end"/>
        </w:r>
      </w:hyperlink>
    </w:p>
    <w:p w14:paraId="2BD3184E" w14:textId="03D6F8B7" w:rsidR="007C0DBE" w:rsidRDefault="007C0DBE">
      <w:pPr>
        <w:pStyle w:val="INNH2"/>
        <w:rPr>
          <w:rFonts w:eastAsiaTheme="minorEastAsia"/>
          <w:noProof/>
          <w:kern w:val="2"/>
          <w:sz w:val="24"/>
          <w:szCs w:val="24"/>
          <w:lang w:eastAsia="nb-NO"/>
          <w14:ligatures w14:val="standardContextual"/>
        </w:rPr>
      </w:pPr>
      <w:hyperlink w:anchor="_Toc176427837" w:history="1">
        <w:r w:rsidRPr="003059FC">
          <w:rPr>
            <w:rStyle w:val="Hyperkobling"/>
            <w:noProof/>
            <w:lang w:val="en-US"/>
          </w:rPr>
          <w:t>3.1. Personal Data Protection Act (PDPA)</w:t>
        </w:r>
        <w:r>
          <w:rPr>
            <w:noProof/>
            <w:webHidden/>
          </w:rPr>
          <w:tab/>
        </w:r>
        <w:r>
          <w:rPr>
            <w:noProof/>
            <w:webHidden/>
          </w:rPr>
          <w:fldChar w:fldCharType="begin"/>
        </w:r>
        <w:r>
          <w:rPr>
            <w:noProof/>
            <w:webHidden/>
          </w:rPr>
          <w:instrText xml:space="preserve"> PAGEREF _Toc176427837 \h </w:instrText>
        </w:r>
        <w:r>
          <w:rPr>
            <w:noProof/>
            <w:webHidden/>
          </w:rPr>
        </w:r>
        <w:r>
          <w:rPr>
            <w:noProof/>
            <w:webHidden/>
          </w:rPr>
          <w:fldChar w:fldCharType="separate"/>
        </w:r>
        <w:r>
          <w:rPr>
            <w:noProof/>
            <w:webHidden/>
          </w:rPr>
          <w:t>4</w:t>
        </w:r>
        <w:r>
          <w:rPr>
            <w:noProof/>
            <w:webHidden/>
          </w:rPr>
          <w:fldChar w:fldCharType="end"/>
        </w:r>
      </w:hyperlink>
    </w:p>
    <w:p w14:paraId="5C58367C" w14:textId="51DD951C" w:rsidR="007C0DBE" w:rsidRDefault="007C0DBE">
      <w:pPr>
        <w:pStyle w:val="INNH2"/>
        <w:rPr>
          <w:rFonts w:eastAsiaTheme="minorEastAsia"/>
          <w:noProof/>
          <w:kern w:val="2"/>
          <w:sz w:val="24"/>
          <w:szCs w:val="24"/>
          <w:lang w:eastAsia="nb-NO"/>
          <w14:ligatures w14:val="standardContextual"/>
        </w:rPr>
      </w:pPr>
      <w:hyperlink w:anchor="_Toc176427838" w:history="1">
        <w:r w:rsidRPr="003059FC">
          <w:rPr>
            <w:rStyle w:val="Hyperkobling"/>
            <w:noProof/>
            <w:lang w:val="en-US"/>
          </w:rPr>
          <w:t>3.2. Communication Security and Surveillance Act (CSSA)</w:t>
        </w:r>
        <w:r>
          <w:rPr>
            <w:noProof/>
            <w:webHidden/>
          </w:rPr>
          <w:tab/>
        </w:r>
        <w:r>
          <w:rPr>
            <w:noProof/>
            <w:webHidden/>
          </w:rPr>
          <w:fldChar w:fldCharType="begin"/>
        </w:r>
        <w:r>
          <w:rPr>
            <w:noProof/>
            <w:webHidden/>
          </w:rPr>
          <w:instrText xml:space="preserve"> PAGEREF _Toc176427838 \h </w:instrText>
        </w:r>
        <w:r>
          <w:rPr>
            <w:noProof/>
            <w:webHidden/>
          </w:rPr>
        </w:r>
        <w:r>
          <w:rPr>
            <w:noProof/>
            <w:webHidden/>
          </w:rPr>
          <w:fldChar w:fldCharType="separate"/>
        </w:r>
        <w:r>
          <w:rPr>
            <w:noProof/>
            <w:webHidden/>
          </w:rPr>
          <w:t>6</w:t>
        </w:r>
        <w:r>
          <w:rPr>
            <w:noProof/>
            <w:webHidden/>
          </w:rPr>
          <w:fldChar w:fldCharType="end"/>
        </w:r>
      </w:hyperlink>
    </w:p>
    <w:p w14:paraId="3F2F1E32" w14:textId="6B3ADD8E" w:rsidR="007C0DBE" w:rsidRDefault="007C0DBE">
      <w:pPr>
        <w:pStyle w:val="INNH2"/>
        <w:rPr>
          <w:rFonts w:eastAsiaTheme="minorEastAsia"/>
          <w:noProof/>
          <w:kern w:val="2"/>
          <w:sz w:val="24"/>
          <w:szCs w:val="24"/>
          <w:lang w:eastAsia="nb-NO"/>
          <w14:ligatures w14:val="standardContextual"/>
        </w:rPr>
      </w:pPr>
      <w:hyperlink w:anchor="_Toc176427839" w:history="1">
        <w:r w:rsidRPr="003059FC">
          <w:rPr>
            <w:rStyle w:val="Hyperkobling"/>
            <w:noProof/>
            <w:lang w:val="en-US"/>
          </w:rPr>
          <w:t>3.3. Telecommunications Act and Telecommunications Management Act</w:t>
        </w:r>
        <w:r>
          <w:rPr>
            <w:noProof/>
            <w:webHidden/>
          </w:rPr>
          <w:tab/>
        </w:r>
        <w:r>
          <w:rPr>
            <w:noProof/>
            <w:webHidden/>
          </w:rPr>
          <w:fldChar w:fldCharType="begin"/>
        </w:r>
        <w:r>
          <w:rPr>
            <w:noProof/>
            <w:webHidden/>
          </w:rPr>
          <w:instrText xml:space="preserve"> PAGEREF _Toc176427839 \h </w:instrText>
        </w:r>
        <w:r>
          <w:rPr>
            <w:noProof/>
            <w:webHidden/>
          </w:rPr>
        </w:r>
        <w:r>
          <w:rPr>
            <w:noProof/>
            <w:webHidden/>
          </w:rPr>
          <w:fldChar w:fldCharType="separate"/>
        </w:r>
        <w:r>
          <w:rPr>
            <w:noProof/>
            <w:webHidden/>
          </w:rPr>
          <w:t>8</w:t>
        </w:r>
        <w:r>
          <w:rPr>
            <w:noProof/>
            <w:webHidden/>
          </w:rPr>
          <w:fldChar w:fldCharType="end"/>
        </w:r>
      </w:hyperlink>
    </w:p>
    <w:p w14:paraId="0DA63444" w14:textId="773E9804" w:rsidR="007C0DBE" w:rsidRDefault="007C0DBE">
      <w:pPr>
        <w:pStyle w:val="INNH1"/>
        <w:tabs>
          <w:tab w:val="right" w:leader="dot" w:pos="9062"/>
        </w:tabs>
        <w:rPr>
          <w:rFonts w:eastAsiaTheme="minorEastAsia"/>
          <w:noProof/>
          <w:kern w:val="2"/>
          <w:sz w:val="24"/>
          <w:szCs w:val="24"/>
          <w:lang w:eastAsia="nb-NO"/>
          <w14:ligatures w14:val="standardContextual"/>
        </w:rPr>
      </w:pPr>
      <w:hyperlink w:anchor="_Toc176427840" w:history="1">
        <w:r w:rsidRPr="003059FC">
          <w:rPr>
            <w:rStyle w:val="Hyperkobling"/>
            <w:noProof/>
            <w:lang w:val="en-US"/>
          </w:rPr>
          <w:t>4. Country Assessment - Taiwan</w:t>
        </w:r>
        <w:r>
          <w:rPr>
            <w:noProof/>
            <w:webHidden/>
          </w:rPr>
          <w:tab/>
        </w:r>
        <w:r>
          <w:rPr>
            <w:noProof/>
            <w:webHidden/>
          </w:rPr>
          <w:fldChar w:fldCharType="begin"/>
        </w:r>
        <w:r>
          <w:rPr>
            <w:noProof/>
            <w:webHidden/>
          </w:rPr>
          <w:instrText xml:space="preserve"> PAGEREF _Toc176427840 \h </w:instrText>
        </w:r>
        <w:r>
          <w:rPr>
            <w:noProof/>
            <w:webHidden/>
          </w:rPr>
        </w:r>
        <w:r>
          <w:rPr>
            <w:noProof/>
            <w:webHidden/>
          </w:rPr>
          <w:fldChar w:fldCharType="separate"/>
        </w:r>
        <w:r>
          <w:rPr>
            <w:noProof/>
            <w:webHidden/>
          </w:rPr>
          <w:t>9</w:t>
        </w:r>
        <w:r>
          <w:rPr>
            <w:noProof/>
            <w:webHidden/>
          </w:rPr>
          <w:fldChar w:fldCharType="end"/>
        </w:r>
      </w:hyperlink>
    </w:p>
    <w:p w14:paraId="3C2FCED9" w14:textId="4AE92FFB" w:rsidR="007C0DBE" w:rsidRDefault="007C0DBE">
      <w:pPr>
        <w:pStyle w:val="INNH2"/>
        <w:rPr>
          <w:rFonts w:eastAsiaTheme="minorEastAsia"/>
          <w:noProof/>
          <w:kern w:val="2"/>
          <w:sz w:val="24"/>
          <w:szCs w:val="24"/>
          <w:lang w:eastAsia="nb-NO"/>
          <w14:ligatures w14:val="standardContextual"/>
        </w:rPr>
      </w:pPr>
      <w:hyperlink w:anchor="_Toc176427841" w:history="1">
        <w:r w:rsidRPr="003059FC">
          <w:rPr>
            <w:rStyle w:val="Hyperkobling"/>
            <w:noProof/>
            <w:lang w:val="en-US"/>
          </w:rPr>
          <w:t>4.1. Overall Issue and Method</w:t>
        </w:r>
        <w:r>
          <w:rPr>
            <w:noProof/>
            <w:webHidden/>
          </w:rPr>
          <w:tab/>
        </w:r>
        <w:r>
          <w:rPr>
            <w:noProof/>
            <w:webHidden/>
          </w:rPr>
          <w:fldChar w:fldCharType="begin"/>
        </w:r>
        <w:r>
          <w:rPr>
            <w:noProof/>
            <w:webHidden/>
          </w:rPr>
          <w:instrText xml:space="preserve"> PAGEREF _Toc176427841 \h </w:instrText>
        </w:r>
        <w:r>
          <w:rPr>
            <w:noProof/>
            <w:webHidden/>
          </w:rPr>
        </w:r>
        <w:r>
          <w:rPr>
            <w:noProof/>
            <w:webHidden/>
          </w:rPr>
          <w:fldChar w:fldCharType="separate"/>
        </w:r>
        <w:r>
          <w:rPr>
            <w:noProof/>
            <w:webHidden/>
          </w:rPr>
          <w:t>9</w:t>
        </w:r>
        <w:r>
          <w:rPr>
            <w:noProof/>
            <w:webHidden/>
          </w:rPr>
          <w:fldChar w:fldCharType="end"/>
        </w:r>
      </w:hyperlink>
    </w:p>
    <w:p w14:paraId="111F32E0" w14:textId="2FCA346F" w:rsidR="007C0DBE" w:rsidRDefault="007C0DBE">
      <w:pPr>
        <w:pStyle w:val="INNH2"/>
        <w:rPr>
          <w:rFonts w:eastAsiaTheme="minorEastAsia"/>
          <w:noProof/>
          <w:kern w:val="2"/>
          <w:sz w:val="24"/>
          <w:szCs w:val="24"/>
          <w:lang w:eastAsia="nb-NO"/>
          <w14:ligatures w14:val="standardContextual"/>
        </w:rPr>
      </w:pPr>
      <w:hyperlink w:anchor="_Toc176427842" w:history="1">
        <w:r w:rsidRPr="003059FC">
          <w:rPr>
            <w:rStyle w:val="Hyperkobling"/>
            <w:noProof/>
            <w:lang w:val="en-US"/>
          </w:rPr>
          <w:t>4.2. Regulations Applicable to the Transfer to Taiwan</w:t>
        </w:r>
        <w:r>
          <w:rPr>
            <w:noProof/>
            <w:webHidden/>
          </w:rPr>
          <w:tab/>
        </w:r>
        <w:r>
          <w:rPr>
            <w:noProof/>
            <w:webHidden/>
          </w:rPr>
          <w:fldChar w:fldCharType="begin"/>
        </w:r>
        <w:r>
          <w:rPr>
            <w:noProof/>
            <w:webHidden/>
          </w:rPr>
          <w:instrText xml:space="preserve"> PAGEREF _Toc176427842 \h </w:instrText>
        </w:r>
        <w:r>
          <w:rPr>
            <w:noProof/>
            <w:webHidden/>
          </w:rPr>
        </w:r>
        <w:r>
          <w:rPr>
            <w:noProof/>
            <w:webHidden/>
          </w:rPr>
          <w:fldChar w:fldCharType="separate"/>
        </w:r>
        <w:r>
          <w:rPr>
            <w:noProof/>
            <w:webHidden/>
          </w:rPr>
          <w:t>10</w:t>
        </w:r>
        <w:r>
          <w:rPr>
            <w:noProof/>
            <w:webHidden/>
          </w:rPr>
          <w:fldChar w:fldCharType="end"/>
        </w:r>
      </w:hyperlink>
    </w:p>
    <w:p w14:paraId="74EF7F42" w14:textId="0A2CCFF8" w:rsidR="007C0DBE" w:rsidRDefault="007C0DBE">
      <w:pPr>
        <w:pStyle w:val="INNH2"/>
        <w:rPr>
          <w:rFonts w:eastAsiaTheme="minorEastAsia"/>
          <w:noProof/>
          <w:kern w:val="2"/>
          <w:sz w:val="24"/>
          <w:szCs w:val="24"/>
          <w:lang w:eastAsia="nb-NO"/>
          <w14:ligatures w14:val="standardContextual"/>
        </w:rPr>
      </w:pPr>
      <w:hyperlink w:anchor="_Toc176427843" w:history="1">
        <w:r w:rsidRPr="003059FC">
          <w:rPr>
            <w:rStyle w:val="Hyperkobling"/>
            <w:noProof/>
            <w:lang w:val="en-US"/>
          </w:rPr>
          <w:t>4.3. Evaluation of the Applicable Laws for the Transfer</w:t>
        </w:r>
        <w:r>
          <w:rPr>
            <w:noProof/>
            <w:webHidden/>
          </w:rPr>
          <w:tab/>
        </w:r>
        <w:r>
          <w:rPr>
            <w:noProof/>
            <w:webHidden/>
          </w:rPr>
          <w:fldChar w:fldCharType="begin"/>
        </w:r>
        <w:r>
          <w:rPr>
            <w:noProof/>
            <w:webHidden/>
          </w:rPr>
          <w:instrText xml:space="preserve"> PAGEREF _Toc176427843 \h </w:instrText>
        </w:r>
        <w:r>
          <w:rPr>
            <w:noProof/>
            <w:webHidden/>
          </w:rPr>
        </w:r>
        <w:r>
          <w:rPr>
            <w:noProof/>
            <w:webHidden/>
          </w:rPr>
          <w:fldChar w:fldCharType="separate"/>
        </w:r>
        <w:r>
          <w:rPr>
            <w:noProof/>
            <w:webHidden/>
          </w:rPr>
          <w:t>11</w:t>
        </w:r>
        <w:r>
          <w:rPr>
            <w:noProof/>
            <w:webHidden/>
          </w:rPr>
          <w:fldChar w:fldCharType="end"/>
        </w:r>
      </w:hyperlink>
    </w:p>
    <w:p w14:paraId="22F1F68C" w14:textId="6E0B6E6A" w:rsidR="007C0DBE" w:rsidRDefault="007C0DBE">
      <w:pPr>
        <w:pStyle w:val="INNH2"/>
        <w:rPr>
          <w:rFonts w:eastAsiaTheme="minorEastAsia"/>
          <w:noProof/>
          <w:kern w:val="2"/>
          <w:sz w:val="24"/>
          <w:szCs w:val="24"/>
          <w:lang w:eastAsia="nb-NO"/>
          <w14:ligatures w14:val="standardContextual"/>
        </w:rPr>
      </w:pPr>
      <w:hyperlink w:anchor="_Toc176427844" w:history="1">
        <w:r w:rsidRPr="003059FC">
          <w:rPr>
            <w:rStyle w:val="Hyperkobling"/>
            <w:noProof/>
            <w:lang w:val="en-US"/>
          </w:rPr>
          <w:t>4.4. How the Relevant Laws Are Enforced in Practice</w:t>
        </w:r>
        <w:r>
          <w:rPr>
            <w:noProof/>
            <w:webHidden/>
          </w:rPr>
          <w:tab/>
        </w:r>
        <w:r>
          <w:rPr>
            <w:noProof/>
            <w:webHidden/>
          </w:rPr>
          <w:fldChar w:fldCharType="begin"/>
        </w:r>
        <w:r>
          <w:rPr>
            <w:noProof/>
            <w:webHidden/>
          </w:rPr>
          <w:instrText xml:space="preserve"> PAGEREF _Toc176427844 \h </w:instrText>
        </w:r>
        <w:r>
          <w:rPr>
            <w:noProof/>
            <w:webHidden/>
          </w:rPr>
        </w:r>
        <w:r>
          <w:rPr>
            <w:noProof/>
            <w:webHidden/>
          </w:rPr>
          <w:fldChar w:fldCharType="separate"/>
        </w:r>
        <w:r>
          <w:rPr>
            <w:noProof/>
            <w:webHidden/>
          </w:rPr>
          <w:t>14</w:t>
        </w:r>
        <w:r>
          <w:rPr>
            <w:noProof/>
            <w:webHidden/>
          </w:rPr>
          <w:fldChar w:fldCharType="end"/>
        </w:r>
      </w:hyperlink>
    </w:p>
    <w:p w14:paraId="378C1E2B" w14:textId="4D2F5500" w:rsidR="007C0DBE" w:rsidRDefault="007C0DBE">
      <w:pPr>
        <w:pStyle w:val="INNH2"/>
        <w:rPr>
          <w:rFonts w:eastAsiaTheme="minorEastAsia"/>
          <w:noProof/>
          <w:kern w:val="2"/>
          <w:sz w:val="24"/>
          <w:szCs w:val="24"/>
          <w:lang w:eastAsia="nb-NO"/>
          <w14:ligatures w14:val="standardContextual"/>
        </w:rPr>
      </w:pPr>
      <w:hyperlink w:anchor="_Toc176427845" w:history="1">
        <w:r w:rsidRPr="003059FC">
          <w:rPr>
            <w:rStyle w:val="Hyperkobling"/>
            <w:noProof/>
            <w:lang w:val="en-US"/>
          </w:rPr>
          <w:t>4.5. Summary of Practices</w:t>
        </w:r>
        <w:r>
          <w:rPr>
            <w:noProof/>
            <w:webHidden/>
          </w:rPr>
          <w:tab/>
        </w:r>
        <w:r>
          <w:rPr>
            <w:noProof/>
            <w:webHidden/>
          </w:rPr>
          <w:fldChar w:fldCharType="begin"/>
        </w:r>
        <w:r>
          <w:rPr>
            <w:noProof/>
            <w:webHidden/>
          </w:rPr>
          <w:instrText xml:space="preserve"> PAGEREF _Toc176427845 \h </w:instrText>
        </w:r>
        <w:r>
          <w:rPr>
            <w:noProof/>
            <w:webHidden/>
          </w:rPr>
        </w:r>
        <w:r>
          <w:rPr>
            <w:noProof/>
            <w:webHidden/>
          </w:rPr>
          <w:fldChar w:fldCharType="separate"/>
        </w:r>
        <w:r>
          <w:rPr>
            <w:noProof/>
            <w:webHidden/>
          </w:rPr>
          <w:t>18</w:t>
        </w:r>
        <w:r>
          <w:rPr>
            <w:noProof/>
            <w:webHidden/>
          </w:rPr>
          <w:fldChar w:fldCharType="end"/>
        </w:r>
      </w:hyperlink>
    </w:p>
    <w:p w14:paraId="156E3223" w14:textId="383AEF15" w:rsidR="007C0DBE" w:rsidRDefault="007C0DBE">
      <w:pPr>
        <w:pStyle w:val="INNH1"/>
        <w:tabs>
          <w:tab w:val="right" w:leader="dot" w:pos="9062"/>
        </w:tabs>
        <w:rPr>
          <w:rFonts w:eastAsiaTheme="minorEastAsia"/>
          <w:noProof/>
          <w:kern w:val="2"/>
          <w:sz w:val="24"/>
          <w:szCs w:val="24"/>
          <w:lang w:eastAsia="nb-NO"/>
          <w14:ligatures w14:val="standardContextual"/>
        </w:rPr>
      </w:pPr>
      <w:hyperlink w:anchor="_Toc176427846" w:history="1">
        <w:r w:rsidRPr="003059FC">
          <w:rPr>
            <w:rStyle w:val="Hyperkobling"/>
            <w:noProof/>
            <w:lang w:val="en-US"/>
          </w:rPr>
          <w:t>5. Conclusion and Recommendation</w:t>
        </w:r>
        <w:r>
          <w:rPr>
            <w:noProof/>
            <w:webHidden/>
          </w:rPr>
          <w:tab/>
        </w:r>
        <w:r>
          <w:rPr>
            <w:noProof/>
            <w:webHidden/>
          </w:rPr>
          <w:fldChar w:fldCharType="begin"/>
        </w:r>
        <w:r>
          <w:rPr>
            <w:noProof/>
            <w:webHidden/>
          </w:rPr>
          <w:instrText xml:space="preserve"> PAGEREF _Toc176427846 \h </w:instrText>
        </w:r>
        <w:r>
          <w:rPr>
            <w:noProof/>
            <w:webHidden/>
          </w:rPr>
        </w:r>
        <w:r>
          <w:rPr>
            <w:noProof/>
            <w:webHidden/>
          </w:rPr>
          <w:fldChar w:fldCharType="separate"/>
        </w:r>
        <w:r>
          <w:rPr>
            <w:noProof/>
            <w:webHidden/>
          </w:rPr>
          <w:t>19</w:t>
        </w:r>
        <w:r>
          <w:rPr>
            <w:noProof/>
            <w:webHidden/>
          </w:rPr>
          <w:fldChar w:fldCharType="end"/>
        </w:r>
      </w:hyperlink>
    </w:p>
    <w:p w14:paraId="3F862C60" w14:textId="3B219E15" w:rsidR="007C0DBE" w:rsidRDefault="007C0DBE">
      <w:pPr>
        <w:pStyle w:val="INNH1"/>
        <w:tabs>
          <w:tab w:val="right" w:leader="dot" w:pos="9062"/>
        </w:tabs>
        <w:rPr>
          <w:rFonts w:eastAsiaTheme="minorEastAsia"/>
          <w:noProof/>
          <w:kern w:val="2"/>
          <w:sz w:val="24"/>
          <w:szCs w:val="24"/>
          <w:lang w:eastAsia="nb-NO"/>
          <w14:ligatures w14:val="standardContextual"/>
        </w:rPr>
      </w:pPr>
      <w:hyperlink w:anchor="_Toc176427847" w:history="1">
        <w:r w:rsidRPr="003059FC">
          <w:rPr>
            <w:rStyle w:val="Hyperkobling"/>
            <w:noProof/>
            <w:lang w:val="en-US"/>
          </w:rPr>
          <w:t>References</w:t>
        </w:r>
        <w:r>
          <w:rPr>
            <w:noProof/>
            <w:webHidden/>
          </w:rPr>
          <w:tab/>
        </w:r>
        <w:r>
          <w:rPr>
            <w:noProof/>
            <w:webHidden/>
          </w:rPr>
          <w:fldChar w:fldCharType="begin"/>
        </w:r>
        <w:r>
          <w:rPr>
            <w:noProof/>
            <w:webHidden/>
          </w:rPr>
          <w:instrText xml:space="preserve"> PAGEREF _Toc176427847 \h </w:instrText>
        </w:r>
        <w:r>
          <w:rPr>
            <w:noProof/>
            <w:webHidden/>
          </w:rPr>
        </w:r>
        <w:r>
          <w:rPr>
            <w:noProof/>
            <w:webHidden/>
          </w:rPr>
          <w:fldChar w:fldCharType="separate"/>
        </w:r>
        <w:r>
          <w:rPr>
            <w:noProof/>
            <w:webHidden/>
          </w:rPr>
          <w:t>20</w:t>
        </w:r>
        <w:r>
          <w:rPr>
            <w:noProof/>
            <w:webHidden/>
          </w:rPr>
          <w:fldChar w:fldCharType="end"/>
        </w:r>
      </w:hyperlink>
    </w:p>
    <w:p w14:paraId="1961398A" w14:textId="78D207F6" w:rsidR="007C0DBE" w:rsidRDefault="007C0DBE">
      <w:pPr>
        <w:pStyle w:val="INNH1"/>
        <w:tabs>
          <w:tab w:val="right" w:leader="dot" w:pos="9062"/>
        </w:tabs>
        <w:rPr>
          <w:rFonts w:eastAsiaTheme="minorEastAsia"/>
          <w:noProof/>
          <w:kern w:val="2"/>
          <w:sz w:val="24"/>
          <w:szCs w:val="24"/>
          <w:lang w:eastAsia="nb-NO"/>
          <w14:ligatures w14:val="standardContextual"/>
        </w:rPr>
      </w:pPr>
      <w:hyperlink w:anchor="_Toc176427848" w:history="1">
        <w:r w:rsidRPr="003059FC">
          <w:rPr>
            <w:rStyle w:val="Hyperkobling"/>
            <w:noProof/>
            <w:lang w:val="en-US"/>
          </w:rPr>
          <w:t>Questions and Answers from Local Expertise at Nishimura &amp; Asahi Taiwan Law Firm</w:t>
        </w:r>
        <w:r>
          <w:rPr>
            <w:noProof/>
            <w:webHidden/>
          </w:rPr>
          <w:tab/>
        </w:r>
        <w:r>
          <w:rPr>
            <w:noProof/>
            <w:webHidden/>
          </w:rPr>
          <w:fldChar w:fldCharType="begin"/>
        </w:r>
        <w:r>
          <w:rPr>
            <w:noProof/>
            <w:webHidden/>
          </w:rPr>
          <w:instrText xml:space="preserve"> PAGEREF _Toc176427848 \h </w:instrText>
        </w:r>
        <w:r>
          <w:rPr>
            <w:noProof/>
            <w:webHidden/>
          </w:rPr>
        </w:r>
        <w:r>
          <w:rPr>
            <w:noProof/>
            <w:webHidden/>
          </w:rPr>
          <w:fldChar w:fldCharType="separate"/>
        </w:r>
        <w:r>
          <w:rPr>
            <w:noProof/>
            <w:webHidden/>
          </w:rPr>
          <w:t>22</w:t>
        </w:r>
        <w:r>
          <w:rPr>
            <w:noProof/>
            <w:webHidden/>
          </w:rPr>
          <w:fldChar w:fldCharType="end"/>
        </w:r>
      </w:hyperlink>
    </w:p>
    <w:p w14:paraId="71CBB550" w14:textId="41E934BB" w:rsidR="001D358F" w:rsidRPr="00EE32B6" w:rsidRDefault="00ED5184" w:rsidP="00952CE2">
      <w:r>
        <w:fldChar w:fldCharType="end"/>
      </w:r>
    </w:p>
    <w:p w14:paraId="6F70BDDC" w14:textId="5BAA2AA6" w:rsidR="001D358F" w:rsidRPr="00EE32B6" w:rsidRDefault="001D358F" w:rsidP="00952CE2"/>
    <w:p w14:paraId="0C123568" w14:textId="641F2BE6" w:rsidR="001D358F" w:rsidRPr="00EE32B6" w:rsidRDefault="001D358F" w:rsidP="00952CE2"/>
    <w:p w14:paraId="14007C0D" w14:textId="44CBA4CE" w:rsidR="001D358F" w:rsidRDefault="001D358F" w:rsidP="00952CE2"/>
    <w:p w14:paraId="2574C136" w14:textId="0138232F" w:rsidR="00150B51" w:rsidRDefault="00D77334" w:rsidP="00952CE2">
      <w:r>
        <w:rPr>
          <w:noProof/>
        </w:rPr>
        <mc:AlternateContent>
          <mc:Choice Requires="wps">
            <w:drawing>
              <wp:anchor distT="45720" distB="45720" distL="114300" distR="114300" simplePos="0" relativeHeight="251660291" behindDoc="0" locked="0" layoutInCell="1" allowOverlap="1" wp14:anchorId="040DCD52" wp14:editId="64E00FDC">
                <wp:simplePos x="0" y="0"/>
                <wp:positionH relativeFrom="margin">
                  <wp:align>right</wp:align>
                </wp:positionH>
                <wp:positionV relativeFrom="paragraph">
                  <wp:posOffset>266700</wp:posOffset>
                </wp:positionV>
                <wp:extent cx="5743575" cy="1404620"/>
                <wp:effectExtent l="0" t="0" r="9525"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oundRect">
                          <a:avLst/>
                        </a:prstGeom>
                        <a:solidFill>
                          <a:srgbClr val="CC0000"/>
                        </a:solidFill>
                        <a:ln w="9525">
                          <a:noFill/>
                          <a:miter lim="800000"/>
                          <a:headEnd/>
                          <a:tailEnd/>
                        </a:ln>
                      </wps:spPr>
                      <wps:txbx>
                        <w:txbxContent>
                          <w:p w14:paraId="00052B00" w14:textId="1BD5DE78" w:rsidR="00C61ACD" w:rsidRPr="007C0DBE" w:rsidRDefault="00C61ACD" w:rsidP="00D77334">
                            <w:pPr>
                              <w:jc w:val="center"/>
                              <w:rPr>
                                <w:b/>
                                <w:bCs/>
                                <w:i/>
                                <w:iCs/>
                                <w:color w:val="FFFFFF" w:themeColor="background1"/>
                                <w:sz w:val="28"/>
                                <w:szCs w:val="28"/>
                              </w:rPr>
                            </w:pPr>
                            <w:proofErr w:type="spellStart"/>
                            <w:r w:rsidRPr="007C0DBE">
                              <w:rPr>
                                <w:b/>
                                <w:bCs/>
                                <w:i/>
                                <w:iCs/>
                                <w:color w:val="FFFFFF" w:themeColor="background1"/>
                                <w:sz w:val="28"/>
                                <w:szCs w:val="28"/>
                              </w:rPr>
                              <w:t>Disclaimer</w:t>
                            </w:r>
                            <w:proofErr w:type="spellEnd"/>
                          </w:p>
                          <w:p w14:paraId="50055328" w14:textId="77777777" w:rsidR="0054775E" w:rsidRPr="007C0DBE" w:rsidRDefault="00C61ACD">
                            <w:pPr>
                              <w:rPr>
                                <w:color w:val="FFFFFF" w:themeColor="background1"/>
                                <w:sz w:val="24"/>
                                <w:szCs w:val="24"/>
                              </w:rPr>
                            </w:pPr>
                            <w:r w:rsidRPr="007C0DBE">
                              <w:rPr>
                                <w:color w:val="FFFFFF" w:themeColor="background1"/>
                                <w:sz w:val="24"/>
                                <w:szCs w:val="24"/>
                              </w:rPr>
                              <w:t xml:space="preserve">This </w:t>
                            </w:r>
                            <w:proofErr w:type="spellStart"/>
                            <w:r w:rsidRPr="007C0DBE">
                              <w:rPr>
                                <w:color w:val="FFFFFF" w:themeColor="background1"/>
                                <w:sz w:val="24"/>
                                <w:szCs w:val="24"/>
                              </w:rPr>
                              <w:t>raport</w:t>
                            </w:r>
                            <w:proofErr w:type="spellEnd"/>
                            <w:r w:rsidRPr="007C0DBE">
                              <w:rPr>
                                <w:color w:val="FFFFFF" w:themeColor="background1"/>
                                <w:sz w:val="24"/>
                                <w:szCs w:val="24"/>
                              </w:rPr>
                              <w:t xml:space="preserve"> </w:t>
                            </w:r>
                            <w:proofErr w:type="spellStart"/>
                            <w:r w:rsidRPr="007C0DBE">
                              <w:rPr>
                                <w:color w:val="FFFFFF" w:themeColor="background1"/>
                                <w:sz w:val="24"/>
                                <w:szCs w:val="24"/>
                              </w:rPr>
                              <w:t>was</w:t>
                            </w:r>
                            <w:proofErr w:type="spellEnd"/>
                            <w:r w:rsidRPr="007C0DBE">
                              <w:rPr>
                                <w:color w:val="FFFFFF" w:themeColor="background1"/>
                                <w:sz w:val="24"/>
                                <w:szCs w:val="24"/>
                              </w:rPr>
                              <w:t xml:space="preserve"> </w:t>
                            </w:r>
                            <w:proofErr w:type="spellStart"/>
                            <w:r w:rsidRPr="007C0DBE">
                              <w:rPr>
                                <w:color w:val="FFFFFF" w:themeColor="background1"/>
                                <w:sz w:val="24"/>
                                <w:szCs w:val="24"/>
                              </w:rPr>
                              <w:t>translated</w:t>
                            </w:r>
                            <w:proofErr w:type="spellEnd"/>
                            <w:r w:rsidRPr="007C0DBE">
                              <w:rPr>
                                <w:color w:val="FFFFFF" w:themeColor="background1"/>
                                <w:sz w:val="24"/>
                                <w:szCs w:val="24"/>
                              </w:rPr>
                              <w:t xml:space="preserve"> from Norwegian to English </w:t>
                            </w:r>
                            <w:proofErr w:type="spellStart"/>
                            <w:r w:rsidRPr="007C0DBE">
                              <w:rPr>
                                <w:color w:val="FFFFFF" w:themeColor="background1"/>
                                <w:sz w:val="24"/>
                                <w:szCs w:val="24"/>
                              </w:rPr>
                              <w:t>using</w:t>
                            </w:r>
                            <w:proofErr w:type="spellEnd"/>
                            <w:r w:rsidRPr="007C0DBE">
                              <w:rPr>
                                <w:color w:val="FFFFFF" w:themeColor="background1"/>
                                <w:sz w:val="24"/>
                                <w:szCs w:val="24"/>
                              </w:rPr>
                              <w:t xml:space="preserve"> </w:t>
                            </w:r>
                            <w:proofErr w:type="spellStart"/>
                            <w:r w:rsidRPr="007C0DBE">
                              <w:rPr>
                                <w:color w:val="FFFFFF" w:themeColor="background1"/>
                                <w:sz w:val="24"/>
                                <w:szCs w:val="24"/>
                              </w:rPr>
                              <w:t>the</w:t>
                            </w:r>
                            <w:proofErr w:type="spellEnd"/>
                            <w:r w:rsidRPr="007C0DBE">
                              <w:rPr>
                                <w:color w:val="FFFFFF" w:themeColor="background1"/>
                                <w:sz w:val="24"/>
                                <w:szCs w:val="24"/>
                              </w:rPr>
                              <w:t xml:space="preserve"> AI-</w:t>
                            </w:r>
                            <w:proofErr w:type="spellStart"/>
                            <w:r w:rsidRPr="007C0DBE">
                              <w:rPr>
                                <w:color w:val="FFFFFF" w:themeColor="background1"/>
                                <w:sz w:val="24"/>
                                <w:szCs w:val="24"/>
                              </w:rPr>
                              <w:t>based</w:t>
                            </w:r>
                            <w:proofErr w:type="spellEnd"/>
                            <w:r w:rsidRPr="007C0DBE">
                              <w:rPr>
                                <w:color w:val="FFFFFF" w:themeColor="background1"/>
                                <w:sz w:val="24"/>
                                <w:szCs w:val="24"/>
                              </w:rPr>
                              <w:t xml:space="preserve"> </w:t>
                            </w:r>
                            <w:proofErr w:type="spellStart"/>
                            <w:r w:rsidRPr="007C0DBE">
                              <w:rPr>
                                <w:color w:val="FFFFFF" w:themeColor="background1"/>
                                <w:sz w:val="24"/>
                                <w:szCs w:val="24"/>
                              </w:rPr>
                              <w:t>language</w:t>
                            </w:r>
                            <w:proofErr w:type="spellEnd"/>
                            <w:r w:rsidRPr="007C0DBE">
                              <w:rPr>
                                <w:color w:val="FFFFFF" w:themeColor="background1"/>
                                <w:sz w:val="24"/>
                                <w:szCs w:val="24"/>
                              </w:rPr>
                              <w:t xml:space="preserve"> </w:t>
                            </w:r>
                            <w:proofErr w:type="spellStart"/>
                            <w:r w:rsidRPr="007C0DBE">
                              <w:rPr>
                                <w:color w:val="FFFFFF" w:themeColor="background1"/>
                                <w:sz w:val="24"/>
                                <w:szCs w:val="24"/>
                              </w:rPr>
                              <w:t>model</w:t>
                            </w:r>
                            <w:proofErr w:type="spellEnd"/>
                            <w:r w:rsidRPr="007C0DBE">
                              <w:rPr>
                                <w:color w:val="FFFFFF" w:themeColor="background1"/>
                                <w:sz w:val="24"/>
                                <w:szCs w:val="24"/>
                              </w:rPr>
                              <w:t xml:space="preserve"> ChatGPT-4</w:t>
                            </w:r>
                            <w:r w:rsidRPr="007C0DBE">
                              <w:rPr>
                                <w:color w:val="FFFFFF" w:themeColor="background1"/>
                                <w:sz w:val="24"/>
                                <w:szCs w:val="24"/>
                              </w:rPr>
                              <w:t>o</w:t>
                            </w:r>
                            <w:r w:rsidRPr="007C0DBE">
                              <w:rPr>
                                <w:color w:val="FFFFFF" w:themeColor="background1"/>
                                <w:sz w:val="24"/>
                                <w:szCs w:val="24"/>
                              </w:rPr>
                              <w:t xml:space="preserve"> </w:t>
                            </w:r>
                            <w:proofErr w:type="spellStart"/>
                            <w:r w:rsidRPr="007C0DBE">
                              <w:rPr>
                                <w:color w:val="FFFFFF" w:themeColor="background1"/>
                                <w:sz w:val="24"/>
                                <w:szCs w:val="24"/>
                              </w:rPr>
                              <w:t>on</w:t>
                            </w:r>
                            <w:proofErr w:type="spellEnd"/>
                            <w:r w:rsidRPr="007C0DBE">
                              <w:rPr>
                                <w:color w:val="FFFFFF" w:themeColor="background1"/>
                                <w:sz w:val="24"/>
                                <w:szCs w:val="24"/>
                              </w:rPr>
                              <w:t xml:space="preserve"> </w:t>
                            </w:r>
                            <w:r w:rsidRPr="007C0DBE">
                              <w:rPr>
                                <w:color w:val="FFFFFF" w:themeColor="background1"/>
                                <w:sz w:val="24"/>
                                <w:szCs w:val="24"/>
                              </w:rPr>
                              <w:t>september 4th 2024</w:t>
                            </w:r>
                            <w:r w:rsidRPr="007C0DBE">
                              <w:rPr>
                                <w:color w:val="FFFFFF" w:themeColor="background1"/>
                                <w:sz w:val="24"/>
                                <w:szCs w:val="24"/>
                              </w:rPr>
                              <w:t xml:space="preserve">. </w:t>
                            </w:r>
                          </w:p>
                          <w:p w14:paraId="581B19C3" w14:textId="7B949E88" w:rsidR="00C61ACD" w:rsidRPr="007C0DBE" w:rsidRDefault="0054775E">
                            <w:pPr>
                              <w:rPr>
                                <w:color w:val="FFFFFF" w:themeColor="background1"/>
                                <w:sz w:val="24"/>
                                <w:szCs w:val="24"/>
                              </w:rPr>
                            </w:pPr>
                            <w:proofErr w:type="spellStart"/>
                            <w:r w:rsidRPr="007C0DBE">
                              <w:rPr>
                                <w:color w:val="FFFFFF" w:themeColor="background1"/>
                                <w:sz w:val="24"/>
                                <w:szCs w:val="24"/>
                              </w:rPr>
                              <w:t>P</w:t>
                            </w:r>
                            <w:r w:rsidR="00C61ACD" w:rsidRPr="007C0DBE">
                              <w:rPr>
                                <w:color w:val="FFFFFF" w:themeColor="background1"/>
                                <w:sz w:val="24"/>
                                <w:szCs w:val="24"/>
                              </w:rPr>
                              <w:t>lease</w:t>
                            </w:r>
                            <w:proofErr w:type="spellEnd"/>
                            <w:r w:rsidR="00C61ACD" w:rsidRPr="007C0DBE">
                              <w:rPr>
                                <w:color w:val="FFFFFF" w:themeColor="background1"/>
                                <w:sz w:val="24"/>
                                <w:szCs w:val="24"/>
                              </w:rPr>
                              <w:t xml:space="preserve"> note </w:t>
                            </w:r>
                            <w:proofErr w:type="spellStart"/>
                            <w:r w:rsidR="00C61ACD" w:rsidRPr="007C0DBE">
                              <w:rPr>
                                <w:color w:val="FFFFFF" w:themeColor="background1"/>
                                <w:sz w:val="24"/>
                                <w:szCs w:val="24"/>
                              </w:rPr>
                              <w:t>that</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while</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the</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translation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aims</w:t>
                            </w:r>
                            <w:proofErr w:type="spellEnd"/>
                            <w:r w:rsidR="00C61ACD" w:rsidRPr="007C0DBE">
                              <w:rPr>
                                <w:color w:val="FFFFFF" w:themeColor="background1"/>
                                <w:sz w:val="24"/>
                                <w:szCs w:val="24"/>
                              </w:rPr>
                              <w:t xml:space="preserve"> to be </w:t>
                            </w:r>
                            <w:proofErr w:type="spellStart"/>
                            <w:r w:rsidR="00C61ACD" w:rsidRPr="007C0DBE">
                              <w:rPr>
                                <w:color w:val="FFFFFF" w:themeColor="background1"/>
                                <w:sz w:val="24"/>
                                <w:szCs w:val="24"/>
                              </w:rPr>
                              <w:t>accurate</w:t>
                            </w:r>
                            <w:proofErr w:type="spellEnd"/>
                            <w:r w:rsidR="00C61ACD" w:rsidRPr="007C0DBE">
                              <w:rPr>
                                <w:color w:val="FFFFFF" w:themeColor="background1"/>
                                <w:sz w:val="24"/>
                                <w:szCs w:val="24"/>
                              </w:rPr>
                              <w:t xml:space="preserve">, it </w:t>
                            </w:r>
                            <w:proofErr w:type="spellStart"/>
                            <w:r w:rsidR="00C61ACD" w:rsidRPr="007C0DBE">
                              <w:rPr>
                                <w:color w:val="FFFFFF" w:themeColor="background1"/>
                                <w:sz w:val="24"/>
                                <w:szCs w:val="24"/>
                              </w:rPr>
                              <w:t>may</w:t>
                            </w:r>
                            <w:proofErr w:type="spellEnd"/>
                            <w:r w:rsidR="00C61ACD" w:rsidRPr="007C0DBE">
                              <w:rPr>
                                <w:color w:val="FFFFFF" w:themeColor="background1"/>
                                <w:sz w:val="24"/>
                                <w:szCs w:val="24"/>
                              </w:rPr>
                              <w:t xml:space="preserve"> not </w:t>
                            </w:r>
                            <w:proofErr w:type="spellStart"/>
                            <w:r w:rsidR="00C61ACD" w:rsidRPr="007C0DBE">
                              <w:rPr>
                                <w:color w:val="FFFFFF" w:themeColor="background1"/>
                                <w:sz w:val="24"/>
                                <w:szCs w:val="24"/>
                              </w:rPr>
                              <w:t>fully</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reflect</w:t>
                            </w:r>
                            <w:proofErr w:type="spellEnd"/>
                            <w:r w:rsidR="00C61ACD" w:rsidRPr="007C0DBE">
                              <w:rPr>
                                <w:color w:val="FFFFFF" w:themeColor="background1"/>
                                <w:sz w:val="24"/>
                                <w:szCs w:val="24"/>
                              </w:rPr>
                              <w:t xml:space="preserve"> all </w:t>
                            </w:r>
                            <w:proofErr w:type="spellStart"/>
                            <w:r w:rsidR="00C61ACD" w:rsidRPr="007C0DBE">
                              <w:rPr>
                                <w:color w:val="FFFFFF" w:themeColor="background1"/>
                                <w:sz w:val="24"/>
                                <w:szCs w:val="24"/>
                              </w:rPr>
                              <w:t>nuances</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of</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the</w:t>
                            </w:r>
                            <w:proofErr w:type="spellEnd"/>
                            <w:r w:rsidR="00C61ACD" w:rsidRPr="007C0DBE">
                              <w:rPr>
                                <w:color w:val="FFFFFF" w:themeColor="background1"/>
                                <w:sz w:val="24"/>
                                <w:szCs w:val="24"/>
                              </w:rPr>
                              <w:t xml:space="preserve"> original </w:t>
                            </w:r>
                            <w:proofErr w:type="spellStart"/>
                            <w:r w:rsidR="00C61ACD" w:rsidRPr="007C0DBE">
                              <w:rPr>
                                <w:color w:val="FFFFFF" w:themeColor="background1"/>
                                <w:sz w:val="24"/>
                                <w:szCs w:val="24"/>
                              </w:rPr>
                              <w:t>text</w:t>
                            </w:r>
                            <w:proofErr w:type="spellEnd"/>
                            <w:r w:rsidR="00C61ACD" w:rsidRPr="007C0DBE">
                              <w:rPr>
                                <w:color w:val="FFFFFF" w:themeColor="background1"/>
                                <w:sz w:val="24"/>
                                <w:szCs w:val="24"/>
                              </w:rPr>
                              <w:t xml:space="preserve">. Human </w:t>
                            </w:r>
                            <w:proofErr w:type="spellStart"/>
                            <w:r w:rsidR="00C61ACD" w:rsidRPr="007C0DBE">
                              <w:rPr>
                                <w:color w:val="FFFFFF" w:themeColor="background1"/>
                                <w:sz w:val="24"/>
                                <w:szCs w:val="24"/>
                              </w:rPr>
                              <w:t>oversight</w:t>
                            </w:r>
                            <w:proofErr w:type="spellEnd"/>
                            <w:r w:rsidR="00C61ACD" w:rsidRPr="007C0DBE">
                              <w:rPr>
                                <w:color w:val="FFFFFF" w:themeColor="background1"/>
                                <w:sz w:val="24"/>
                                <w:szCs w:val="24"/>
                              </w:rPr>
                              <w:t xml:space="preserve"> has not </w:t>
                            </w:r>
                            <w:proofErr w:type="spellStart"/>
                            <w:r w:rsidR="00C61ACD" w:rsidRPr="007C0DBE">
                              <w:rPr>
                                <w:color w:val="FFFFFF" w:themeColor="background1"/>
                                <w:sz w:val="24"/>
                                <w:szCs w:val="24"/>
                              </w:rPr>
                              <w:t>been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applied</w:t>
                            </w:r>
                            <w:proofErr w:type="spellEnd"/>
                            <w:r w:rsidR="00C61ACD" w:rsidRPr="007C0DBE">
                              <w:rPr>
                                <w:color w:val="FFFFFF" w:themeColor="background1"/>
                                <w:sz w:val="24"/>
                                <w:szCs w:val="24"/>
                              </w:rPr>
                              <w:t xml:space="preserve"> to </w:t>
                            </w:r>
                            <w:proofErr w:type="spellStart"/>
                            <w:r w:rsidR="00C61ACD" w:rsidRPr="007C0DBE">
                              <w:rPr>
                                <w:color w:val="FFFFFF" w:themeColor="background1"/>
                                <w:sz w:val="24"/>
                                <w:szCs w:val="24"/>
                              </w:rPr>
                              <w:t>this</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translation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process</w:t>
                            </w:r>
                            <w:proofErr w:type="spellEnd"/>
                            <w:r w:rsidR="00C61ACD" w:rsidRPr="007C0DBE">
                              <w:rPr>
                                <w:color w:val="FFFFFF" w:themeColor="background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oundrect w14:anchorId="040DCD52" id="_x0000_s1057" style="position:absolute;margin-left:401.05pt;margin-top:21pt;width:452.25pt;height:110.6pt;z-index:25166029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DGQIAAAMEAAAOAAAAZHJzL2Uyb0RvYy54bWysU9tu2zAMfR+wfxD0vthJ7aY14hRdugwD&#10;ugvW7QNkSY6FyaImKbHbrx+luGnQvQ3zgyCa5CF5eLS6GXtNDtJ5Baam81lOiTQchDK7mv78sX13&#10;RYkPzAimwciaPkpPb9Zv36wGW8kFdKCFdARBjK8GW9MuBFtlmeed7JmfgZUGnS24ngU03S4Tjg2I&#10;3utskeeX2QBOWAdceo9/745Ouk74bSt5+Nq2Xgaia4q9hXS6dDbxzNYrVu0cs53iUxvsH7romTJY&#10;9AR1xwIje6f+guoVd+ChDTMOfQZtq7hMM+A08/zVNA8dszLNguR4e6LJ/z9Y/uXwYL85Esb3MOIC&#10;0xDe3gP/5YmBTcfMTt46B0MnmcDC80hZNlhfTamRal/5CNIMn0Hgktk+QAIaW9dHVnBOgui4gMcT&#10;6XIMhOPPcllclMuSEo6+eZEXl4u0loxVz+nW+fBRQk/ipaYO9kZ8x9WmGuxw70PsiVXPcbGkB63E&#10;VmmdDLdrNtqRA0MZbDY5fmmMV2HakKGm1+WiTMgGYn5SSK8CylSrvqZXMXsSTuTkgxEpJDClj3fs&#10;RJuJpMjLkaEwNiNRoqYXsXTkrAHxiKw5OKoSXxFeOnBPlAyoyJr633vmJCX6k0Hmr+dFESWcjKJc&#10;Ik3EnXuacw8zHKFqGig5XjchyT7RYW9xQ1uVaHvpZGoZlZbYnF5FlPK5naJe3u76DwAAAP//AwBQ&#10;SwMEFAAGAAgAAAAhALL0ywzfAAAABwEAAA8AAABkcnMvZG93bnJldi54bWxMj0FLw0AQhe+C/2EZ&#10;wUuxG9NYasykiCII9tDE1vM2uybB7GzIbpr47x1Pehoe7/HeN9l2tp04m8G3jhBulxEIQ5XTLdUI&#10;h/eXmw0IHxRp1TkyCN/Gwza/vMhUqt1EhTmXoRZcQj5VCE0IfSqlrxpjlV+63hB7n26wKrAcaqkH&#10;NXG57WQcRWtpVUu80KjePDWm+ipHi7Av316P7ep52hcbV/hksfjYNSPi9dX8+AAimDn8heEXn9Eh&#10;Z6aTG0l70SHwIwEhifmyex8ldyBOCPF6FYPMM/mfP/8BAAD//wMAUEsBAi0AFAAGAAgAAAAhALaD&#10;OJL+AAAA4QEAABMAAAAAAAAAAAAAAAAAAAAAAFtDb250ZW50X1R5cGVzXS54bWxQSwECLQAUAAYA&#10;CAAAACEAOP0h/9YAAACUAQAACwAAAAAAAAAAAAAAAAAvAQAAX3JlbHMvLnJlbHNQSwECLQAUAAYA&#10;CAAAACEAPrLCwxkCAAADBAAADgAAAAAAAAAAAAAAAAAuAgAAZHJzL2Uyb0RvYy54bWxQSwECLQAU&#10;AAYACAAAACEAsvTLDN8AAAAHAQAADwAAAAAAAAAAAAAAAABzBAAAZHJzL2Rvd25yZXYueG1sUEsF&#10;BgAAAAAEAAQA8wAAAH8FAAAAAA==&#10;" fillcolor="#c00" stroked="f">
                <v:stroke joinstyle="miter"/>
                <v:textbox style="mso-fit-shape-to-text:t">
                  <w:txbxContent>
                    <w:p w14:paraId="00052B00" w14:textId="1BD5DE78" w:rsidR="00C61ACD" w:rsidRPr="007C0DBE" w:rsidRDefault="00C61ACD" w:rsidP="00D77334">
                      <w:pPr>
                        <w:jc w:val="center"/>
                        <w:rPr>
                          <w:b/>
                          <w:bCs/>
                          <w:i/>
                          <w:iCs/>
                          <w:color w:val="FFFFFF" w:themeColor="background1"/>
                          <w:sz w:val="28"/>
                          <w:szCs w:val="28"/>
                        </w:rPr>
                      </w:pPr>
                      <w:proofErr w:type="spellStart"/>
                      <w:r w:rsidRPr="007C0DBE">
                        <w:rPr>
                          <w:b/>
                          <w:bCs/>
                          <w:i/>
                          <w:iCs/>
                          <w:color w:val="FFFFFF" w:themeColor="background1"/>
                          <w:sz w:val="28"/>
                          <w:szCs w:val="28"/>
                        </w:rPr>
                        <w:t>Disclaimer</w:t>
                      </w:r>
                      <w:proofErr w:type="spellEnd"/>
                    </w:p>
                    <w:p w14:paraId="50055328" w14:textId="77777777" w:rsidR="0054775E" w:rsidRPr="007C0DBE" w:rsidRDefault="00C61ACD">
                      <w:pPr>
                        <w:rPr>
                          <w:color w:val="FFFFFF" w:themeColor="background1"/>
                          <w:sz w:val="24"/>
                          <w:szCs w:val="24"/>
                        </w:rPr>
                      </w:pPr>
                      <w:r w:rsidRPr="007C0DBE">
                        <w:rPr>
                          <w:color w:val="FFFFFF" w:themeColor="background1"/>
                          <w:sz w:val="24"/>
                          <w:szCs w:val="24"/>
                        </w:rPr>
                        <w:t xml:space="preserve">This </w:t>
                      </w:r>
                      <w:proofErr w:type="spellStart"/>
                      <w:r w:rsidRPr="007C0DBE">
                        <w:rPr>
                          <w:color w:val="FFFFFF" w:themeColor="background1"/>
                          <w:sz w:val="24"/>
                          <w:szCs w:val="24"/>
                        </w:rPr>
                        <w:t>raport</w:t>
                      </w:r>
                      <w:proofErr w:type="spellEnd"/>
                      <w:r w:rsidRPr="007C0DBE">
                        <w:rPr>
                          <w:color w:val="FFFFFF" w:themeColor="background1"/>
                          <w:sz w:val="24"/>
                          <w:szCs w:val="24"/>
                        </w:rPr>
                        <w:t xml:space="preserve"> </w:t>
                      </w:r>
                      <w:proofErr w:type="spellStart"/>
                      <w:r w:rsidRPr="007C0DBE">
                        <w:rPr>
                          <w:color w:val="FFFFFF" w:themeColor="background1"/>
                          <w:sz w:val="24"/>
                          <w:szCs w:val="24"/>
                        </w:rPr>
                        <w:t>was</w:t>
                      </w:r>
                      <w:proofErr w:type="spellEnd"/>
                      <w:r w:rsidRPr="007C0DBE">
                        <w:rPr>
                          <w:color w:val="FFFFFF" w:themeColor="background1"/>
                          <w:sz w:val="24"/>
                          <w:szCs w:val="24"/>
                        </w:rPr>
                        <w:t xml:space="preserve"> </w:t>
                      </w:r>
                      <w:proofErr w:type="spellStart"/>
                      <w:r w:rsidRPr="007C0DBE">
                        <w:rPr>
                          <w:color w:val="FFFFFF" w:themeColor="background1"/>
                          <w:sz w:val="24"/>
                          <w:szCs w:val="24"/>
                        </w:rPr>
                        <w:t>translated</w:t>
                      </w:r>
                      <w:proofErr w:type="spellEnd"/>
                      <w:r w:rsidRPr="007C0DBE">
                        <w:rPr>
                          <w:color w:val="FFFFFF" w:themeColor="background1"/>
                          <w:sz w:val="24"/>
                          <w:szCs w:val="24"/>
                        </w:rPr>
                        <w:t xml:space="preserve"> from Norwegian to English </w:t>
                      </w:r>
                      <w:proofErr w:type="spellStart"/>
                      <w:r w:rsidRPr="007C0DBE">
                        <w:rPr>
                          <w:color w:val="FFFFFF" w:themeColor="background1"/>
                          <w:sz w:val="24"/>
                          <w:szCs w:val="24"/>
                        </w:rPr>
                        <w:t>using</w:t>
                      </w:r>
                      <w:proofErr w:type="spellEnd"/>
                      <w:r w:rsidRPr="007C0DBE">
                        <w:rPr>
                          <w:color w:val="FFFFFF" w:themeColor="background1"/>
                          <w:sz w:val="24"/>
                          <w:szCs w:val="24"/>
                        </w:rPr>
                        <w:t xml:space="preserve"> </w:t>
                      </w:r>
                      <w:proofErr w:type="spellStart"/>
                      <w:r w:rsidRPr="007C0DBE">
                        <w:rPr>
                          <w:color w:val="FFFFFF" w:themeColor="background1"/>
                          <w:sz w:val="24"/>
                          <w:szCs w:val="24"/>
                        </w:rPr>
                        <w:t>the</w:t>
                      </w:r>
                      <w:proofErr w:type="spellEnd"/>
                      <w:r w:rsidRPr="007C0DBE">
                        <w:rPr>
                          <w:color w:val="FFFFFF" w:themeColor="background1"/>
                          <w:sz w:val="24"/>
                          <w:szCs w:val="24"/>
                        </w:rPr>
                        <w:t xml:space="preserve"> AI-</w:t>
                      </w:r>
                      <w:proofErr w:type="spellStart"/>
                      <w:r w:rsidRPr="007C0DBE">
                        <w:rPr>
                          <w:color w:val="FFFFFF" w:themeColor="background1"/>
                          <w:sz w:val="24"/>
                          <w:szCs w:val="24"/>
                        </w:rPr>
                        <w:t>based</w:t>
                      </w:r>
                      <w:proofErr w:type="spellEnd"/>
                      <w:r w:rsidRPr="007C0DBE">
                        <w:rPr>
                          <w:color w:val="FFFFFF" w:themeColor="background1"/>
                          <w:sz w:val="24"/>
                          <w:szCs w:val="24"/>
                        </w:rPr>
                        <w:t xml:space="preserve"> </w:t>
                      </w:r>
                      <w:proofErr w:type="spellStart"/>
                      <w:r w:rsidRPr="007C0DBE">
                        <w:rPr>
                          <w:color w:val="FFFFFF" w:themeColor="background1"/>
                          <w:sz w:val="24"/>
                          <w:szCs w:val="24"/>
                        </w:rPr>
                        <w:t>language</w:t>
                      </w:r>
                      <w:proofErr w:type="spellEnd"/>
                      <w:r w:rsidRPr="007C0DBE">
                        <w:rPr>
                          <w:color w:val="FFFFFF" w:themeColor="background1"/>
                          <w:sz w:val="24"/>
                          <w:szCs w:val="24"/>
                        </w:rPr>
                        <w:t xml:space="preserve"> </w:t>
                      </w:r>
                      <w:proofErr w:type="spellStart"/>
                      <w:r w:rsidRPr="007C0DBE">
                        <w:rPr>
                          <w:color w:val="FFFFFF" w:themeColor="background1"/>
                          <w:sz w:val="24"/>
                          <w:szCs w:val="24"/>
                        </w:rPr>
                        <w:t>model</w:t>
                      </w:r>
                      <w:proofErr w:type="spellEnd"/>
                      <w:r w:rsidRPr="007C0DBE">
                        <w:rPr>
                          <w:color w:val="FFFFFF" w:themeColor="background1"/>
                          <w:sz w:val="24"/>
                          <w:szCs w:val="24"/>
                        </w:rPr>
                        <w:t xml:space="preserve"> ChatGPT-4</w:t>
                      </w:r>
                      <w:r w:rsidRPr="007C0DBE">
                        <w:rPr>
                          <w:color w:val="FFFFFF" w:themeColor="background1"/>
                          <w:sz w:val="24"/>
                          <w:szCs w:val="24"/>
                        </w:rPr>
                        <w:t>o</w:t>
                      </w:r>
                      <w:r w:rsidRPr="007C0DBE">
                        <w:rPr>
                          <w:color w:val="FFFFFF" w:themeColor="background1"/>
                          <w:sz w:val="24"/>
                          <w:szCs w:val="24"/>
                        </w:rPr>
                        <w:t xml:space="preserve"> </w:t>
                      </w:r>
                      <w:proofErr w:type="spellStart"/>
                      <w:r w:rsidRPr="007C0DBE">
                        <w:rPr>
                          <w:color w:val="FFFFFF" w:themeColor="background1"/>
                          <w:sz w:val="24"/>
                          <w:szCs w:val="24"/>
                        </w:rPr>
                        <w:t>on</w:t>
                      </w:r>
                      <w:proofErr w:type="spellEnd"/>
                      <w:r w:rsidRPr="007C0DBE">
                        <w:rPr>
                          <w:color w:val="FFFFFF" w:themeColor="background1"/>
                          <w:sz w:val="24"/>
                          <w:szCs w:val="24"/>
                        </w:rPr>
                        <w:t xml:space="preserve"> </w:t>
                      </w:r>
                      <w:r w:rsidRPr="007C0DBE">
                        <w:rPr>
                          <w:color w:val="FFFFFF" w:themeColor="background1"/>
                          <w:sz w:val="24"/>
                          <w:szCs w:val="24"/>
                        </w:rPr>
                        <w:t>september 4th 2024</w:t>
                      </w:r>
                      <w:r w:rsidRPr="007C0DBE">
                        <w:rPr>
                          <w:color w:val="FFFFFF" w:themeColor="background1"/>
                          <w:sz w:val="24"/>
                          <w:szCs w:val="24"/>
                        </w:rPr>
                        <w:t xml:space="preserve">. </w:t>
                      </w:r>
                    </w:p>
                    <w:p w14:paraId="581B19C3" w14:textId="7B949E88" w:rsidR="00C61ACD" w:rsidRPr="007C0DBE" w:rsidRDefault="0054775E">
                      <w:pPr>
                        <w:rPr>
                          <w:color w:val="FFFFFF" w:themeColor="background1"/>
                          <w:sz w:val="24"/>
                          <w:szCs w:val="24"/>
                        </w:rPr>
                      </w:pPr>
                      <w:proofErr w:type="spellStart"/>
                      <w:r w:rsidRPr="007C0DBE">
                        <w:rPr>
                          <w:color w:val="FFFFFF" w:themeColor="background1"/>
                          <w:sz w:val="24"/>
                          <w:szCs w:val="24"/>
                        </w:rPr>
                        <w:t>P</w:t>
                      </w:r>
                      <w:r w:rsidR="00C61ACD" w:rsidRPr="007C0DBE">
                        <w:rPr>
                          <w:color w:val="FFFFFF" w:themeColor="background1"/>
                          <w:sz w:val="24"/>
                          <w:szCs w:val="24"/>
                        </w:rPr>
                        <w:t>lease</w:t>
                      </w:r>
                      <w:proofErr w:type="spellEnd"/>
                      <w:r w:rsidR="00C61ACD" w:rsidRPr="007C0DBE">
                        <w:rPr>
                          <w:color w:val="FFFFFF" w:themeColor="background1"/>
                          <w:sz w:val="24"/>
                          <w:szCs w:val="24"/>
                        </w:rPr>
                        <w:t xml:space="preserve"> note </w:t>
                      </w:r>
                      <w:proofErr w:type="spellStart"/>
                      <w:r w:rsidR="00C61ACD" w:rsidRPr="007C0DBE">
                        <w:rPr>
                          <w:color w:val="FFFFFF" w:themeColor="background1"/>
                          <w:sz w:val="24"/>
                          <w:szCs w:val="24"/>
                        </w:rPr>
                        <w:t>that</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while</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the</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translation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aims</w:t>
                      </w:r>
                      <w:proofErr w:type="spellEnd"/>
                      <w:r w:rsidR="00C61ACD" w:rsidRPr="007C0DBE">
                        <w:rPr>
                          <w:color w:val="FFFFFF" w:themeColor="background1"/>
                          <w:sz w:val="24"/>
                          <w:szCs w:val="24"/>
                        </w:rPr>
                        <w:t xml:space="preserve"> to be </w:t>
                      </w:r>
                      <w:proofErr w:type="spellStart"/>
                      <w:r w:rsidR="00C61ACD" w:rsidRPr="007C0DBE">
                        <w:rPr>
                          <w:color w:val="FFFFFF" w:themeColor="background1"/>
                          <w:sz w:val="24"/>
                          <w:szCs w:val="24"/>
                        </w:rPr>
                        <w:t>accurate</w:t>
                      </w:r>
                      <w:proofErr w:type="spellEnd"/>
                      <w:r w:rsidR="00C61ACD" w:rsidRPr="007C0DBE">
                        <w:rPr>
                          <w:color w:val="FFFFFF" w:themeColor="background1"/>
                          <w:sz w:val="24"/>
                          <w:szCs w:val="24"/>
                        </w:rPr>
                        <w:t xml:space="preserve">, it </w:t>
                      </w:r>
                      <w:proofErr w:type="spellStart"/>
                      <w:r w:rsidR="00C61ACD" w:rsidRPr="007C0DBE">
                        <w:rPr>
                          <w:color w:val="FFFFFF" w:themeColor="background1"/>
                          <w:sz w:val="24"/>
                          <w:szCs w:val="24"/>
                        </w:rPr>
                        <w:t>may</w:t>
                      </w:r>
                      <w:proofErr w:type="spellEnd"/>
                      <w:r w:rsidR="00C61ACD" w:rsidRPr="007C0DBE">
                        <w:rPr>
                          <w:color w:val="FFFFFF" w:themeColor="background1"/>
                          <w:sz w:val="24"/>
                          <w:szCs w:val="24"/>
                        </w:rPr>
                        <w:t xml:space="preserve"> not </w:t>
                      </w:r>
                      <w:proofErr w:type="spellStart"/>
                      <w:r w:rsidR="00C61ACD" w:rsidRPr="007C0DBE">
                        <w:rPr>
                          <w:color w:val="FFFFFF" w:themeColor="background1"/>
                          <w:sz w:val="24"/>
                          <w:szCs w:val="24"/>
                        </w:rPr>
                        <w:t>fully</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reflect</w:t>
                      </w:r>
                      <w:proofErr w:type="spellEnd"/>
                      <w:r w:rsidR="00C61ACD" w:rsidRPr="007C0DBE">
                        <w:rPr>
                          <w:color w:val="FFFFFF" w:themeColor="background1"/>
                          <w:sz w:val="24"/>
                          <w:szCs w:val="24"/>
                        </w:rPr>
                        <w:t xml:space="preserve"> all </w:t>
                      </w:r>
                      <w:proofErr w:type="spellStart"/>
                      <w:r w:rsidR="00C61ACD" w:rsidRPr="007C0DBE">
                        <w:rPr>
                          <w:color w:val="FFFFFF" w:themeColor="background1"/>
                          <w:sz w:val="24"/>
                          <w:szCs w:val="24"/>
                        </w:rPr>
                        <w:t>nuances</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of</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the</w:t>
                      </w:r>
                      <w:proofErr w:type="spellEnd"/>
                      <w:r w:rsidR="00C61ACD" w:rsidRPr="007C0DBE">
                        <w:rPr>
                          <w:color w:val="FFFFFF" w:themeColor="background1"/>
                          <w:sz w:val="24"/>
                          <w:szCs w:val="24"/>
                        </w:rPr>
                        <w:t xml:space="preserve"> original </w:t>
                      </w:r>
                      <w:proofErr w:type="spellStart"/>
                      <w:r w:rsidR="00C61ACD" w:rsidRPr="007C0DBE">
                        <w:rPr>
                          <w:color w:val="FFFFFF" w:themeColor="background1"/>
                          <w:sz w:val="24"/>
                          <w:szCs w:val="24"/>
                        </w:rPr>
                        <w:t>text</w:t>
                      </w:r>
                      <w:proofErr w:type="spellEnd"/>
                      <w:r w:rsidR="00C61ACD" w:rsidRPr="007C0DBE">
                        <w:rPr>
                          <w:color w:val="FFFFFF" w:themeColor="background1"/>
                          <w:sz w:val="24"/>
                          <w:szCs w:val="24"/>
                        </w:rPr>
                        <w:t xml:space="preserve">. Human </w:t>
                      </w:r>
                      <w:proofErr w:type="spellStart"/>
                      <w:r w:rsidR="00C61ACD" w:rsidRPr="007C0DBE">
                        <w:rPr>
                          <w:color w:val="FFFFFF" w:themeColor="background1"/>
                          <w:sz w:val="24"/>
                          <w:szCs w:val="24"/>
                        </w:rPr>
                        <w:t>oversight</w:t>
                      </w:r>
                      <w:proofErr w:type="spellEnd"/>
                      <w:r w:rsidR="00C61ACD" w:rsidRPr="007C0DBE">
                        <w:rPr>
                          <w:color w:val="FFFFFF" w:themeColor="background1"/>
                          <w:sz w:val="24"/>
                          <w:szCs w:val="24"/>
                        </w:rPr>
                        <w:t xml:space="preserve"> has not </w:t>
                      </w:r>
                      <w:proofErr w:type="spellStart"/>
                      <w:r w:rsidR="00C61ACD" w:rsidRPr="007C0DBE">
                        <w:rPr>
                          <w:color w:val="FFFFFF" w:themeColor="background1"/>
                          <w:sz w:val="24"/>
                          <w:szCs w:val="24"/>
                        </w:rPr>
                        <w:t>been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applied</w:t>
                      </w:r>
                      <w:proofErr w:type="spellEnd"/>
                      <w:r w:rsidR="00C61ACD" w:rsidRPr="007C0DBE">
                        <w:rPr>
                          <w:color w:val="FFFFFF" w:themeColor="background1"/>
                          <w:sz w:val="24"/>
                          <w:szCs w:val="24"/>
                        </w:rPr>
                        <w:t xml:space="preserve"> to </w:t>
                      </w:r>
                      <w:proofErr w:type="spellStart"/>
                      <w:r w:rsidR="00C61ACD" w:rsidRPr="007C0DBE">
                        <w:rPr>
                          <w:color w:val="FFFFFF" w:themeColor="background1"/>
                          <w:sz w:val="24"/>
                          <w:szCs w:val="24"/>
                        </w:rPr>
                        <w:t>this</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translation</w:t>
                      </w:r>
                      <w:proofErr w:type="spellEnd"/>
                      <w:r w:rsidR="00C61ACD" w:rsidRPr="007C0DBE">
                        <w:rPr>
                          <w:color w:val="FFFFFF" w:themeColor="background1"/>
                          <w:sz w:val="24"/>
                          <w:szCs w:val="24"/>
                        </w:rPr>
                        <w:t xml:space="preserve"> </w:t>
                      </w:r>
                      <w:proofErr w:type="spellStart"/>
                      <w:r w:rsidR="00C61ACD" w:rsidRPr="007C0DBE">
                        <w:rPr>
                          <w:color w:val="FFFFFF" w:themeColor="background1"/>
                          <w:sz w:val="24"/>
                          <w:szCs w:val="24"/>
                        </w:rPr>
                        <w:t>process</w:t>
                      </w:r>
                      <w:proofErr w:type="spellEnd"/>
                      <w:r w:rsidR="00C61ACD" w:rsidRPr="007C0DBE">
                        <w:rPr>
                          <w:color w:val="FFFFFF" w:themeColor="background1"/>
                          <w:sz w:val="24"/>
                          <w:szCs w:val="24"/>
                        </w:rPr>
                        <w:t>.</w:t>
                      </w:r>
                    </w:p>
                  </w:txbxContent>
                </v:textbox>
                <w10:wrap type="square" anchorx="margin"/>
              </v:roundrect>
            </w:pict>
          </mc:Fallback>
        </mc:AlternateContent>
      </w:r>
    </w:p>
    <w:p w14:paraId="2594A81A" w14:textId="5315D3B9" w:rsidR="00150B51" w:rsidRDefault="00150B51" w:rsidP="00952CE2"/>
    <w:p w14:paraId="79C23532" w14:textId="0DC68632" w:rsidR="00952CE2" w:rsidRPr="004F56E9" w:rsidRDefault="00952CE2" w:rsidP="002F2E55">
      <w:pPr>
        <w:pStyle w:val="Overskrift1"/>
        <w:rPr>
          <w:lang w:val="en-US"/>
        </w:rPr>
      </w:pPr>
      <w:bookmarkStart w:id="0" w:name="_Toc176427830"/>
      <w:r w:rsidRPr="004F56E9">
        <w:rPr>
          <w:lang w:val="en-US"/>
        </w:rPr>
        <w:lastRenderedPageBreak/>
        <w:t>1. Introduction</w:t>
      </w:r>
      <w:bookmarkEnd w:id="0"/>
    </w:p>
    <w:p w14:paraId="7F39C935" w14:textId="68262721" w:rsidR="00952CE2" w:rsidRPr="004F56E9" w:rsidRDefault="00952CE2" w:rsidP="002F2E55">
      <w:pPr>
        <w:pStyle w:val="Overskrift2"/>
        <w:rPr>
          <w:lang w:val="en-US"/>
        </w:rPr>
      </w:pPr>
      <w:bookmarkStart w:id="1" w:name="_Toc176427831"/>
      <w:r w:rsidRPr="004F56E9">
        <w:rPr>
          <w:lang w:val="en-US"/>
        </w:rPr>
        <w:t>1.1. Description of the Transfer and the Purpose of the Country Assessment</w:t>
      </w:r>
      <w:bookmarkEnd w:id="1"/>
    </w:p>
    <w:p w14:paraId="1399C8F0" w14:textId="77777777" w:rsidR="00952CE2" w:rsidRPr="004F56E9" w:rsidRDefault="00952CE2" w:rsidP="00952CE2">
      <w:pPr>
        <w:rPr>
          <w:lang w:val="en-US"/>
        </w:rPr>
      </w:pPr>
      <w:r w:rsidRPr="004F56E9">
        <w:rPr>
          <w:lang w:val="en-US"/>
        </w:rPr>
        <w:t xml:space="preserve">Norwegian municipalities use cloud services under Google Workspace for Education ("GWE") in primary schools. This means that personal data on students, parents, and staff is processed. The use of Google services involves data transfers to or remote access from countries not covered by an adequacy decision from the European Commission under GDPR Article 45.  </w:t>
      </w:r>
    </w:p>
    <w:p w14:paraId="0DBE6879" w14:textId="77777777" w:rsidR="00952CE2" w:rsidRPr="004F56E9" w:rsidRDefault="00952CE2" w:rsidP="00952CE2">
      <w:pPr>
        <w:rPr>
          <w:lang w:val="en-US"/>
        </w:rPr>
      </w:pPr>
      <w:r w:rsidRPr="004F56E9">
        <w:rPr>
          <w:lang w:val="en-US"/>
        </w:rPr>
        <w:t xml:space="preserve">The use of GWE means that Google stores data on servers in Taiwan. The transfers concern personal data on Norwegian users of Google Workspace for Education, including students, teachers, and parents. The transfers will take place continuously. Personal data is processed locally and on data servers in Norway/EU but may be transferred to Taiwan for storage purposes (cloud storage where the data is physically located on a server in Taiwan).  </w:t>
      </w:r>
    </w:p>
    <w:p w14:paraId="5CBA8FCB" w14:textId="77777777" w:rsidR="00952CE2" w:rsidRPr="004F56E9" w:rsidRDefault="00952CE2" w:rsidP="00952CE2">
      <w:pPr>
        <w:rPr>
          <w:lang w:val="en-US"/>
        </w:rPr>
      </w:pPr>
      <w:r w:rsidRPr="004F56E9">
        <w:rPr>
          <w:lang w:val="en-US"/>
        </w:rPr>
        <w:t xml:space="preserve">The municipality is the data controller for these transfers and must assess the risk involved in the transfers, as well as </w:t>
      </w:r>
      <w:proofErr w:type="gramStart"/>
      <w:r w:rsidRPr="004F56E9">
        <w:rPr>
          <w:lang w:val="en-US"/>
        </w:rPr>
        <w:t>enter into</w:t>
      </w:r>
      <w:proofErr w:type="gramEnd"/>
      <w:r w:rsidRPr="004F56E9">
        <w:rPr>
          <w:lang w:val="en-US"/>
        </w:rPr>
        <w:t xml:space="preserve"> the necessary Standard Contractual Clauses ("</w:t>
      </w:r>
      <w:r w:rsidRPr="000F089F">
        <w:rPr>
          <w:b/>
          <w:bCs/>
          <w:lang w:val="en-US"/>
        </w:rPr>
        <w:t>SCC</w:t>
      </w:r>
      <w:r w:rsidRPr="004F56E9">
        <w:rPr>
          <w:lang w:val="en-US"/>
        </w:rPr>
        <w:t>") published by the European Commission and conduct a Transfer Impact Assessment ("</w:t>
      </w:r>
      <w:r w:rsidRPr="000F089F">
        <w:rPr>
          <w:b/>
          <w:bCs/>
          <w:lang w:val="en-US"/>
        </w:rPr>
        <w:t>TIA</w:t>
      </w:r>
      <w:r w:rsidRPr="004F56E9">
        <w:rPr>
          <w:lang w:val="en-US"/>
        </w:rPr>
        <w:t xml:space="preserve">") with the implementation of necessary security measures for the transfers if the SCCs alone are not sufficient.  </w:t>
      </w:r>
    </w:p>
    <w:p w14:paraId="7C2B5488" w14:textId="77777777" w:rsidR="00952CE2" w:rsidRPr="004F56E9" w:rsidRDefault="00952CE2" w:rsidP="00952CE2">
      <w:pPr>
        <w:rPr>
          <w:lang w:val="en-US"/>
        </w:rPr>
      </w:pPr>
      <w:r w:rsidRPr="004F56E9">
        <w:rPr>
          <w:lang w:val="en-US"/>
        </w:rPr>
        <w:t>This country assessment is intended to guide municipalities in assessing the protection level and security measures in Taiwan so that the municipality can conduct a TIA. To assess the protection level of the transfers, the municipality must evaluate the laws and legal practices of the importing country. This country assessment reviews relevant legislation in Taiwan that affects the privacy of Norwegian data subjects.</w:t>
      </w:r>
    </w:p>
    <w:p w14:paraId="2556D3ED" w14:textId="77777777" w:rsidR="00952CE2" w:rsidRPr="004F56E9" w:rsidRDefault="00952CE2" w:rsidP="00952CE2">
      <w:pPr>
        <w:rPr>
          <w:lang w:val="en-US"/>
        </w:rPr>
      </w:pPr>
    </w:p>
    <w:p w14:paraId="0F0D01F1" w14:textId="1AB81C5E" w:rsidR="00952CE2" w:rsidRPr="004F56E9" w:rsidRDefault="00952CE2" w:rsidP="002F2E55">
      <w:pPr>
        <w:pStyle w:val="Overskrift2"/>
        <w:rPr>
          <w:lang w:val="en-US"/>
        </w:rPr>
      </w:pPr>
      <w:bookmarkStart w:id="2" w:name="_Toc176427832"/>
      <w:r w:rsidRPr="004F56E9">
        <w:rPr>
          <w:lang w:val="en-US"/>
        </w:rPr>
        <w:t>1.2. Legal Framework</w:t>
      </w:r>
      <w:bookmarkEnd w:id="2"/>
    </w:p>
    <w:p w14:paraId="67C211AF" w14:textId="77777777" w:rsidR="00952CE2" w:rsidRPr="004F56E9" w:rsidRDefault="00952CE2" w:rsidP="00952CE2">
      <w:pPr>
        <w:rPr>
          <w:lang w:val="en-US"/>
        </w:rPr>
      </w:pPr>
      <w:r w:rsidRPr="004F56E9">
        <w:rPr>
          <w:lang w:val="en-US"/>
        </w:rPr>
        <w:t xml:space="preserve">The primary laws regulating government access to personal data in Taiwan are:  </w:t>
      </w:r>
    </w:p>
    <w:p w14:paraId="1B2D4C2E" w14:textId="5F1C2587" w:rsidR="00952CE2" w:rsidRPr="002F2E55" w:rsidRDefault="00952CE2" w:rsidP="00ED5184">
      <w:pPr>
        <w:pStyle w:val="Listeavsnitt"/>
        <w:numPr>
          <w:ilvl w:val="0"/>
          <w:numId w:val="12"/>
        </w:numPr>
        <w:rPr>
          <w:lang w:val="en-US"/>
        </w:rPr>
      </w:pPr>
      <w:r w:rsidRPr="000F089F">
        <w:rPr>
          <w:b/>
          <w:bCs/>
          <w:lang w:val="en-US"/>
        </w:rPr>
        <w:t>Personal Data Protection Act (PDPA)</w:t>
      </w:r>
      <w:r w:rsidRPr="002F2E55">
        <w:rPr>
          <w:lang w:val="en-US"/>
        </w:rPr>
        <w:t xml:space="preserve">, see section 3.1.  </w:t>
      </w:r>
    </w:p>
    <w:p w14:paraId="33D04B57" w14:textId="2358C089" w:rsidR="00952CE2" w:rsidRPr="002F2E55" w:rsidRDefault="00952CE2" w:rsidP="00ED5184">
      <w:pPr>
        <w:pStyle w:val="Listeavsnitt"/>
        <w:numPr>
          <w:ilvl w:val="0"/>
          <w:numId w:val="12"/>
        </w:numPr>
        <w:rPr>
          <w:lang w:val="en-US"/>
        </w:rPr>
      </w:pPr>
      <w:r w:rsidRPr="000F089F">
        <w:rPr>
          <w:b/>
          <w:bCs/>
          <w:lang w:val="en-US"/>
        </w:rPr>
        <w:t>Communication Security and Surveillance Act (CSSA),</w:t>
      </w:r>
      <w:r w:rsidRPr="002F2E55">
        <w:rPr>
          <w:lang w:val="en-US"/>
        </w:rPr>
        <w:t xml:space="preserve"> see section 3.2.  </w:t>
      </w:r>
    </w:p>
    <w:p w14:paraId="58E71F25" w14:textId="34C27ED3" w:rsidR="00952CE2" w:rsidRPr="002F2E55" w:rsidRDefault="00952CE2" w:rsidP="00ED5184">
      <w:pPr>
        <w:pStyle w:val="Listeavsnitt"/>
        <w:numPr>
          <w:ilvl w:val="0"/>
          <w:numId w:val="12"/>
        </w:numPr>
        <w:rPr>
          <w:lang w:val="en-US"/>
        </w:rPr>
      </w:pPr>
      <w:r w:rsidRPr="000F089F">
        <w:rPr>
          <w:b/>
          <w:bCs/>
          <w:lang w:val="en-US"/>
        </w:rPr>
        <w:t>Telecommunications Act (TA) and Telecommunications Management Act (TMA),</w:t>
      </w:r>
      <w:r w:rsidRPr="002F2E55">
        <w:rPr>
          <w:lang w:val="en-US"/>
        </w:rPr>
        <w:t xml:space="preserve"> see section 3.3.  </w:t>
      </w:r>
    </w:p>
    <w:p w14:paraId="35A2C6C7" w14:textId="1472086C" w:rsidR="00952CE2" w:rsidRPr="000F089F" w:rsidRDefault="00952CE2" w:rsidP="00ED5184">
      <w:pPr>
        <w:pStyle w:val="Listeavsnitt"/>
        <w:numPr>
          <w:ilvl w:val="0"/>
          <w:numId w:val="12"/>
        </w:numPr>
        <w:rPr>
          <w:b/>
          <w:bCs/>
          <w:lang w:val="en-US"/>
        </w:rPr>
      </w:pPr>
      <w:r w:rsidRPr="000F089F">
        <w:rPr>
          <w:b/>
          <w:bCs/>
          <w:lang w:val="en-US"/>
        </w:rPr>
        <w:t xml:space="preserve">Constitution or other related treaties and conventions.  </w:t>
      </w:r>
    </w:p>
    <w:p w14:paraId="40B08F31" w14:textId="77777777" w:rsidR="00952CE2" w:rsidRPr="004F56E9" w:rsidRDefault="00952CE2" w:rsidP="00952CE2">
      <w:pPr>
        <w:rPr>
          <w:lang w:val="en-US"/>
        </w:rPr>
      </w:pPr>
      <w:r w:rsidRPr="004F56E9">
        <w:rPr>
          <w:lang w:val="en-US"/>
        </w:rPr>
        <w:t xml:space="preserve">In addition, the </w:t>
      </w:r>
      <w:r w:rsidRPr="00B95005">
        <w:rPr>
          <w:b/>
          <w:bCs/>
          <w:lang w:val="en-US"/>
        </w:rPr>
        <w:t>Code of Criminal Procedure (CCP)</w:t>
      </w:r>
      <w:r w:rsidRPr="004F56E9">
        <w:rPr>
          <w:lang w:val="en-US"/>
        </w:rPr>
        <w:t xml:space="preserve"> and the </w:t>
      </w:r>
      <w:r w:rsidRPr="00B95005">
        <w:rPr>
          <w:b/>
          <w:bCs/>
          <w:lang w:val="en-US"/>
        </w:rPr>
        <w:t>Police Power Exercise Act (PPEA)</w:t>
      </w:r>
      <w:r w:rsidRPr="004F56E9">
        <w:rPr>
          <w:lang w:val="en-US"/>
        </w:rPr>
        <w:t xml:space="preserve"> are mentioned but are not evaluated in detail below.</w:t>
      </w:r>
    </w:p>
    <w:p w14:paraId="50722EE8" w14:textId="77777777" w:rsidR="00952CE2" w:rsidRPr="004F56E9" w:rsidRDefault="00952CE2" w:rsidP="00952CE2">
      <w:pPr>
        <w:rPr>
          <w:lang w:val="en-US"/>
        </w:rPr>
      </w:pPr>
    </w:p>
    <w:p w14:paraId="477E4788" w14:textId="242513E6" w:rsidR="00952CE2" w:rsidRPr="004F56E9" w:rsidRDefault="00952CE2" w:rsidP="002F2E55">
      <w:pPr>
        <w:pStyle w:val="Overskrift2"/>
        <w:rPr>
          <w:lang w:val="en-US"/>
        </w:rPr>
      </w:pPr>
      <w:bookmarkStart w:id="3" w:name="_Toc176427833"/>
      <w:r w:rsidRPr="004F56E9">
        <w:rPr>
          <w:lang w:val="en-US"/>
        </w:rPr>
        <w:t>1.3. Other Sources</w:t>
      </w:r>
      <w:bookmarkEnd w:id="3"/>
    </w:p>
    <w:p w14:paraId="3C0AFE95" w14:textId="1F577374" w:rsidR="00952CE2" w:rsidRPr="00B95005" w:rsidRDefault="00952CE2" w:rsidP="00B95005">
      <w:pPr>
        <w:rPr>
          <w:lang w:val="en-US"/>
        </w:rPr>
      </w:pPr>
      <w:proofErr w:type="spellStart"/>
      <w:r w:rsidRPr="00B95005">
        <w:rPr>
          <w:b/>
          <w:bCs/>
          <w:lang w:val="en-US"/>
        </w:rPr>
        <w:t>DataGuidance</w:t>
      </w:r>
      <w:proofErr w:type="spellEnd"/>
      <w:r w:rsidRPr="00B95005">
        <w:rPr>
          <w:b/>
          <w:bCs/>
          <w:lang w:val="en-US"/>
        </w:rPr>
        <w:t>/</w:t>
      </w:r>
      <w:proofErr w:type="spellStart"/>
      <w:r w:rsidRPr="00B95005">
        <w:rPr>
          <w:b/>
          <w:bCs/>
          <w:lang w:val="en-US"/>
        </w:rPr>
        <w:t>DataGovernance</w:t>
      </w:r>
      <w:proofErr w:type="spellEnd"/>
      <w:r w:rsidRPr="00B95005">
        <w:rPr>
          <w:lang w:val="en-US"/>
        </w:rPr>
        <w:t xml:space="preserve">: </w:t>
      </w:r>
      <w:proofErr w:type="spellStart"/>
      <w:r w:rsidRPr="00B95005">
        <w:rPr>
          <w:lang w:val="en-US"/>
        </w:rPr>
        <w:t>DataGuidance</w:t>
      </w:r>
      <w:proofErr w:type="spellEnd"/>
      <w:r w:rsidRPr="00B95005">
        <w:rPr>
          <w:lang w:val="en-US"/>
        </w:rPr>
        <w:t xml:space="preserve"> is a centralized regulatory research platform built by a network of internal researchers, legal experts, and translators.</w:t>
      </w:r>
      <w:r w:rsidR="00F633AD">
        <w:rPr>
          <w:rStyle w:val="Fotnotereferanse"/>
          <w:lang w:val="en-US"/>
        </w:rPr>
        <w:footnoteReference w:id="2"/>
      </w:r>
      <w:r w:rsidRPr="00B95005">
        <w:rPr>
          <w:lang w:val="en-US"/>
        </w:rPr>
        <w:t xml:space="preserve">  </w:t>
      </w:r>
    </w:p>
    <w:p w14:paraId="0CD57625" w14:textId="51FA132E" w:rsidR="00952CE2" w:rsidRPr="00B95005" w:rsidRDefault="00952CE2" w:rsidP="00B95005">
      <w:pPr>
        <w:rPr>
          <w:lang w:val="en-US"/>
        </w:rPr>
      </w:pPr>
      <w:r w:rsidRPr="00B95005">
        <w:rPr>
          <w:b/>
          <w:bCs/>
          <w:lang w:val="en-US"/>
        </w:rPr>
        <w:t>"Taiwan Internet Transparency Report"</w:t>
      </w:r>
      <w:r w:rsidRPr="00B95005">
        <w:rPr>
          <w:lang w:val="en-US"/>
        </w:rPr>
        <w:t>: A research report published by the Taiwan Association for Human Rights.</w:t>
      </w:r>
      <w:r w:rsidR="00B95005">
        <w:rPr>
          <w:rStyle w:val="Fotnotereferanse"/>
          <w:lang w:val="en-US"/>
        </w:rPr>
        <w:footnoteReference w:id="3"/>
      </w:r>
      <w:r w:rsidRPr="00B95005">
        <w:rPr>
          <w:lang w:val="en-US"/>
        </w:rPr>
        <w:t xml:space="preserve">  </w:t>
      </w:r>
    </w:p>
    <w:p w14:paraId="74221F03" w14:textId="1A327178" w:rsidR="00952CE2" w:rsidRPr="00B95005" w:rsidRDefault="00952CE2" w:rsidP="00B95005">
      <w:pPr>
        <w:rPr>
          <w:lang w:val="en-US"/>
        </w:rPr>
      </w:pPr>
      <w:r w:rsidRPr="00B95005">
        <w:rPr>
          <w:b/>
          <w:bCs/>
          <w:lang w:val="en-US"/>
        </w:rPr>
        <w:t>Other</w:t>
      </w:r>
      <w:r w:rsidRPr="00B95005">
        <w:rPr>
          <w:lang w:val="en-US"/>
        </w:rPr>
        <w:t>: Additional professional literature, articles, and other relevant sources (see footnotes).</w:t>
      </w:r>
    </w:p>
    <w:p w14:paraId="5C0CB16C" w14:textId="77777777" w:rsidR="00952CE2" w:rsidRPr="004F56E9" w:rsidRDefault="00952CE2" w:rsidP="00952CE2">
      <w:pPr>
        <w:rPr>
          <w:lang w:val="en-US"/>
        </w:rPr>
      </w:pPr>
    </w:p>
    <w:p w14:paraId="6DFF5579" w14:textId="3D79188D" w:rsidR="00952CE2" w:rsidRPr="004F56E9" w:rsidRDefault="00952CE2" w:rsidP="002F2E55">
      <w:pPr>
        <w:pStyle w:val="Overskrift2"/>
        <w:rPr>
          <w:lang w:val="en-US"/>
        </w:rPr>
      </w:pPr>
      <w:bookmarkStart w:id="4" w:name="_Toc176427834"/>
      <w:r w:rsidRPr="004F56E9">
        <w:rPr>
          <w:lang w:val="en-US"/>
        </w:rPr>
        <w:t>1.4. Limitations and Reservations</w:t>
      </w:r>
      <w:bookmarkEnd w:id="4"/>
    </w:p>
    <w:p w14:paraId="5AD4D9D1" w14:textId="77777777" w:rsidR="00952CE2" w:rsidRPr="004F56E9" w:rsidRDefault="00952CE2" w:rsidP="00952CE2">
      <w:pPr>
        <w:rPr>
          <w:lang w:val="en-US"/>
        </w:rPr>
      </w:pPr>
      <w:r w:rsidRPr="004F56E9">
        <w:rPr>
          <w:lang w:val="en-US"/>
        </w:rPr>
        <w:t xml:space="preserve">This country assessment covers only the regulations and practices that were publicly available or known to the project and relevant to the evaluations.  </w:t>
      </w:r>
    </w:p>
    <w:p w14:paraId="32B5002B" w14:textId="77777777" w:rsidR="00952CE2" w:rsidRPr="004F56E9" w:rsidRDefault="00952CE2" w:rsidP="00952CE2">
      <w:pPr>
        <w:rPr>
          <w:lang w:val="en-US"/>
        </w:rPr>
      </w:pPr>
      <w:r w:rsidRPr="004F56E9">
        <w:rPr>
          <w:lang w:val="en-US"/>
        </w:rPr>
        <w:t xml:space="preserve">We also note that legal sources and practices may have been updated, changed, or phased out since the country assessment was made available.  </w:t>
      </w:r>
    </w:p>
    <w:p w14:paraId="7378DDCE" w14:textId="0D7A731F" w:rsidR="00952CE2" w:rsidRPr="004F56E9" w:rsidRDefault="00952CE2" w:rsidP="00952CE2">
      <w:pPr>
        <w:rPr>
          <w:lang w:val="en-US"/>
        </w:rPr>
      </w:pPr>
      <w:r w:rsidRPr="004F56E9">
        <w:rPr>
          <w:lang w:val="en-US"/>
        </w:rPr>
        <w:t>The conclusions in this country assessment are based on the project's interpretation and assessment of Taiwanese law and practices.</w:t>
      </w:r>
    </w:p>
    <w:p w14:paraId="18EA4EF7" w14:textId="77777777" w:rsidR="00344AB7" w:rsidRDefault="00344AB7" w:rsidP="002F2E55">
      <w:pPr>
        <w:pStyle w:val="Overskrift2"/>
        <w:rPr>
          <w:lang w:val="en-US"/>
        </w:rPr>
      </w:pPr>
    </w:p>
    <w:p w14:paraId="41838348" w14:textId="6F07CA57" w:rsidR="00952CE2" w:rsidRPr="004F56E9" w:rsidRDefault="00952CE2" w:rsidP="002F2E55">
      <w:pPr>
        <w:pStyle w:val="Overskrift2"/>
        <w:rPr>
          <w:lang w:val="en-US"/>
        </w:rPr>
      </w:pPr>
      <w:bookmarkStart w:id="5" w:name="_Toc176427835"/>
      <w:r w:rsidRPr="004F56E9">
        <w:rPr>
          <w:lang w:val="en-US"/>
        </w:rPr>
        <w:t>2. Summary and Conclusion</w:t>
      </w:r>
      <w:bookmarkEnd w:id="5"/>
    </w:p>
    <w:p w14:paraId="39D19BDC" w14:textId="77777777" w:rsidR="00952CE2" w:rsidRPr="004F56E9" w:rsidRDefault="00952CE2" w:rsidP="00952CE2">
      <w:pPr>
        <w:rPr>
          <w:lang w:val="en-US"/>
        </w:rPr>
      </w:pPr>
      <w:r w:rsidRPr="004F56E9">
        <w:rPr>
          <w:lang w:val="en-US"/>
        </w:rPr>
        <w:t xml:space="preserve">The country assessment provides an evaluation of Taiwan's legislation and practices concerning privacy and surveillance, particularly </w:t>
      </w:r>
      <w:proofErr w:type="gramStart"/>
      <w:r w:rsidRPr="004F56E9">
        <w:rPr>
          <w:lang w:val="en-US"/>
        </w:rPr>
        <w:t>in light of</w:t>
      </w:r>
      <w:proofErr w:type="gramEnd"/>
      <w:r w:rsidRPr="004F56E9">
        <w:rPr>
          <w:lang w:val="en-US"/>
        </w:rPr>
        <w:t xml:space="preserve"> Norwegian schools' use of Google Workspace for Education (GWE). The main findings indicate that, although Taiwan has made several legislative changes to enhance privacy protection, challenges remain related to surveillance and data protection.  </w:t>
      </w:r>
    </w:p>
    <w:p w14:paraId="39552B8D" w14:textId="77777777" w:rsidR="00952CE2" w:rsidRPr="004F56E9" w:rsidRDefault="00952CE2" w:rsidP="00952CE2">
      <w:pPr>
        <w:rPr>
          <w:lang w:val="en-US"/>
        </w:rPr>
      </w:pPr>
      <w:r w:rsidRPr="004F56E9">
        <w:rPr>
          <w:lang w:val="en-US"/>
        </w:rPr>
        <w:t xml:space="preserve">It has been identified that the Communications Security and Surveillance Act (CSSA) does not fully meet fundamental European guarantees, particularly regarding independent oversight and effective legal remedies. This could affect the level of protection for personal data transferred to Taiwan.  </w:t>
      </w:r>
    </w:p>
    <w:p w14:paraId="137497E4" w14:textId="77777777" w:rsidR="00952CE2" w:rsidRPr="004F56E9" w:rsidRDefault="00952CE2" w:rsidP="00952CE2">
      <w:pPr>
        <w:rPr>
          <w:lang w:val="en-US"/>
        </w:rPr>
      </w:pPr>
      <w:r w:rsidRPr="004F56E9">
        <w:rPr>
          <w:lang w:val="en-US"/>
        </w:rPr>
        <w:t xml:space="preserve">The project recommends that municipalities using GWE assess the risks of transfers to Taiwan and implement the necessary security measures. This may include </w:t>
      </w:r>
      <w:proofErr w:type="gramStart"/>
      <w:r w:rsidRPr="004F56E9">
        <w:rPr>
          <w:lang w:val="en-US"/>
        </w:rPr>
        <w:t>entering into</w:t>
      </w:r>
      <w:proofErr w:type="gramEnd"/>
      <w:r w:rsidRPr="004F56E9">
        <w:rPr>
          <w:lang w:val="en-US"/>
        </w:rPr>
        <w:t xml:space="preserve"> Standard Contractual Clauses (SCCs) and conducting a Transfer Impact Assessment (TIA).  </w:t>
      </w:r>
    </w:p>
    <w:p w14:paraId="7AF3CD3B" w14:textId="77777777" w:rsidR="00952CE2" w:rsidRPr="004F56E9" w:rsidRDefault="00952CE2" w:rsidP="00952CE2">
      <w:pPr>
        <w:rPr>
          <w:lang w:val="en-US"/>
        </w:rPr>
      </w:pPr>
      <w:r w:rsidRPr="004F56E9">
        <w:rPr>
          <w:lang w:val="en-US"/>
        </w:rPr>
        <w:t xml:space="preserve">Furthermore, attention should be paid to the enforcement of the legislation, as indicated by the report from the Taiwan Association for Human Rights (TAHR) and Google’s Transparency Reports, which suggest shortcomings.  </w:t>
      </w:r>
    </w:p>
    <w:p w14:paraId="4430BA62" w14:textId="7B1917A8" w:rsidR="00A12FA5" w:rsidRDefault="00952CE2" w:rsidP="00952CE2">
      <w:pPr>
        <w:rPr>
          <w:lang w:val="en-US"/>
        </w:rPr>
      </w:pPr>
      <w:r w:rsidRPr="004F56E9">
        <w:rPr>
          <w:lang w:val="en-US"/>
        </w:rPr>
        <w:t>Finally, the country assessment concludes that additional measures are needed to ensure an adequate level of protection for personal data transferred to Taiwan.</w:t>
      </w:r>
    </w:p>
    <w:p w14:paraId="54B22817" w14:textId="6FE407CF" w:rsidR="00A12FA5" w:rsidRDefault="00A12FA5">
      <w:pPr>
        <w:rPr>
          <w:lang w:val="en-US"/>
        </w:rPr>
      </w:pPr>
    </w:p>
    <w:p w14:paraId="169FB95F" w14:textId="73B5CB07" w:rsidR="00952CE2" w:rsidRPr="004F56E9" w:rsidRDefault="00952CE2" w:rsidP="00A12FA5">
      <w:pPr>
        <w:pStyle w:val="Overskrift1"/>
        <w:rPr>
          <w:lang w:val="en-US"/>
        </w:rPr>
      </w:pPr>
      <w:bookmarkStart w:id="6" w:name="_Toc176427836"/>
      <w:r w:rsidRPr="004F56E9">
        <w:rPr>
          <w:lang w:val="en-US"/>
        </w:rPr>
        <w:t>3. Description of Relevant Regulations in Taiwan</w:t>
      </w:r>
      <w:bookmarkEnd w:id="6"/>
    </w:p>
    <w:p w14:paraId="2C94CB80" w14:textId="69AFA353" w:rsidR="00952CE2" w:rsidRPr="004F56E9" w:rsidRDefault="00952CE2" w:rsidP="00A12FA5">
      <w:pPr>
        <w:pStyle w:val="Overskrift2"/>
        <w:rPr>
          <w:lang w:val="en-US"/>
        </w:rPr>
      </w:pPr>
      <w:bookmarkStart w:id="7" w:name="_Toc176427837"/>
      <w:r w:rsidRPr="004F56E9">
        <w:rPr>
          <w:lang w:val="en-US"/>
        </w:rPr>
        <w:t>3.1. Personal Data Protection Act (PDPA)</w:t>
      </w:r>
      <w:bookmarkEnd w:id="7"/>
    </w:p>
    <w:p w14:paraId="06B9051E" w14:textId="49589446" w:rsidR="00952CE2" w:rsidRPr="004F56E9" w:rsidRDefault="00952CE2" w:rsidP="00A12FA5">
      <w:pPr>
        <w:pStyle w:val="Overskrift3"/>
        <w:rPr>
          <w:lang w:val="en-US"/>
        </w:rPr>
      </w:pPr>
      <w:r w:rsidRPr="004F56E9">
        <w:rPr>
          <w:lang w:val="en-US"/>
        </w:rPr>
        <w:t>3.1.1. Scope of the Law</w:t>
      </w:r>
    </w:p>
    <w:p w14:paraId="18DBEA21" w14:textId="055D3554" w:rsidR="00952CE2" w:rsidRPr="004F56E9" w:rsidRDefault="00952CE2" w:rsidP="00952CE2">
      <w:pPr>
        <w:rPr>
          <w:lang w:val="en-US"/>
        </w:rPr>
      </w:pPr>
      <w:r w:rsidRPr="004F56E9">
        <w:rPr>
          <w:lang w:val="en-US"/>
        </w:rPr>
        <w:t xml:space="preserve">The Personal Data Protection Act governs the protection of personal data in Taiwan. All collection, processing, and use of personal data in Taiwan are subject to the PDPA and its </w:t>
      </w:r>
      <w:r w:rsidR="00AF7A11">
        <w:rPr>
          <w:lang w:val="en-US"/>
        </w:rPr>
        <w:t>“</w:t>
      </w:r>
      <w:r w:rsidRPr="004F56E9">
        <w:rPr>
          <w:lang w:val="en-US"/>
        </w:rPr>
        <w:t>Enforcement Rules</w:t>
      </w:r>
      <w:r w:rsidR="00AF7A11">
        <w:rPr>
          <w:lang w:val="en-US"/>
        </w:rPr>
        <w:t>”</w:t>
      </w:r>
      <w:r w:rsidRPr="004F56E9">
        <w:rPr>
          <w:lang w:val="en-US"/>
        </w:rPr>
        <w:t>.</w:t>
      </w:r>
      <w:r w:rsidR="00AF7A11">
        <w:rPr>
          <w:rStyle w:val="Fotnotereferanse"/>
          <w:lang w:val="en-US"/>
        </w:rPr>
        <w:footnoteReference w:id="4"/>
      </w:r>
      <w:r w:rsidRPr="004F56E9">
        <w:rPr>
          <w:lang w:val="en-US"/>
        </w:rPr>
        <w:t xml:space="preserve"> The law came into effect in 2015. Taiwan is not covered by an adequacy decision from the European Commission.  </w:t>
      </w:r>
    </w:p>
    <w:p w14:paraId="47B1A00C" w14:textId="0143DC16" w:rsidR="00952CE2" w:rsidRPr="004F56E9" w:rsidRDefault="00952CE2" w:rsidP="00952CE2">
      <w:pPr>
        <w:rPr>
          <w:lang w:val="en-US"/>
        </w:rPr>
      </w:pPr>
      <w:r w:rsidRPr="004F56E9">
        <w:rPr>
          <w:lang w:val="en-US"/>
        </w:rPr>
        <w:t xml:space="preserve">According to Article 51, paragraph 2 of the PDPA, combined with the interpretation from the competent authority (FA-Lu-Zi No. 10403509750 dated 26 August 2015), the PDPA covers all </w:t>
      </w:r>
      <w:r w:rsidRPr="004F56E9">
        <w:rPr>
          <w:lang w:val="en-US"/>
        </w:rPr>
        <w:lastRenderedPageBreak/>
        <w:t xml:space="preserve">collection, processing, and use of personal data within Taiwanese territory, regardless of whether the data subjects </w:t>
      </w:r>
      <w:proofErr w:type="gramStart"/>
      <w:r w:rsidRPr="004F56E9">
        <w:rPr>
          <w:lang w:val="en-US"/>
        </w:rPr>
        <w:t>are located in</w:t>
      </w:r>
      <w:proofErr w:type="gramEnd"/>
      <w:r w:rsidRPr="004F56E9">
        <w:rPr>
          <w:lang w:val="en-US"/>
        </w:rPr>
        <w:t xml:space="preserve"> Taiwan.</w:t>
      </w:r>
      <w:r w:rsidR="00BB0668">
        <w:rPr>
          <w:rStyle w:val="Fotnotereferanse"/>
          <w:lang w:val="en-US"/>
        </w:rPr>
        <w:footnoteReference w:id="5"/>
      </w:r>
      <w:r w:rsidRPr="004F56E9">
        <w:rPr>
          <w:lang w:val="en-US"/>
        </w:rPr>
        <w:t xml:space="preserve">  </w:t>
      </w:r>
    </w:p>
    <w:p w14:paraId="0455D5B6" w14:textId="77777777" w:rsidR="00952CE2" w:rsidRPr="004F56E9" w:rsidRDefault="00952CE2" w:rsidP="00952CE2">
      <w:pPr>
        <w:rPr>
          <w:lang w:val="en-US"/>
        </w:rPr>
      </w:pPr>
      <w:r w:rsidRPr="004F56E9">
        <w:rPr>
          <w:lang w:val="en-US"/>
        </w:rPr>
        <w:t xml:space="preserve">Processing of personal data means recording, inputting, storing, compiling/editing, correcting, duplicating, retrieving, deleting, outputting, or connecting. Use of personal data refers to the handling of personal data through any methods other than those mentioned under the term "processing."  </w:t>
      </w:r>
    </w:p>
    <w:p w14:paraId="6BF4696D" w14:textId="77777777" w:rsidR="00952CE2" w:rsidRPr="004F56E9" w:rsidRDefault="00952CE2" w:rsidP="00952CE2">
      <w:pPr>
        <w:rPr>
          <w:lang w:val="en-US"/>
        </w:rPr>
      </w:pPr>
      <w:r w:rsidRPr="004F56E9">
        <w:rPr>
          <w:lang w:val="en-US"/>
        </w:rPr>
        <w:t>The transfer of personal data concerning Norwegian users of GWE to a data center in Taiwan will, therefore, constitute processing of personal data covered by the PDPA.</w:t>
      </w:r>
    </w:p>
    <w:p w14:paraId="1A7D7149" w14:textId="77777777" w:rsidR="00952CE2" w:rsidRPr="004F56E9" w:rsidRDefault="00952CE2" w:rsidP="00952CE2">
      <w:pPr>
        <w:rPr>
          <w:lang w:val="en-US"/>
        </w:rPr>
      </w:pPr>
    </w:p>
    <w:p w14:paraId="596FCC91" w14:textId="663D0EAE" w:rsidR="00952CE2" w:rsidRPr="004F56E9" w:rsidRDefault="00952CE2" w:rsidP="00A12FA5">
      <w:pPr>
        <w:pStyle w:val="Overskrift3"/>
        <w:rPr>
          <w:lang w:val="en-US"/>
        </w:rPr>
      </w:pPr>
      <w:r w:rsidRPr="004F56E9">
        <w:rPr>
          <w:lang w:val="en-US"/>
        </w:rPr>
        <w:t>3.1.2. Government Access to Transferred Data</w:t>
      </w:r>
    </w:p>
    <w:p w14:paraId="12ABFFDB" w14:textId="77777777" w:rsidR="00952CE2" w:rsidRPr="004F56E9" w:rsidRDefault="00952CE2" w:rsidP="00952CE2">
      <w:pPr>
        <w:rPr>
          <w:lang w:val="en-US"/>
        </w:rPr>
      </w:pPr>
      <w:r w:rsidRPr="004F56E9">
        <w:rPr>
          <w:lang w:val="en-US"/>
        </w:rPr>
        <w:t xml:space="preserve">Chapter 2 of the PDPA regulates the collection and handling of data falling outside the provisions of Chapter 1. This includes, among other things, the collection of data necessary for national security or law enforcement purposes.  </w:t>
      </w:r>
    </w:p>
    <w:p w14:paraId="6B833332" w14:textId="77777777" w:rsidR="00952CE2" w:rsidRPr="004F56E9" w:rsidRDefault="00952CE2" w:rsidP="00952CE2">
      <w:pPr>
        <w:rPr>
          <w:lang w:val="en-US"/>
        </w:rPr>
      </w:pPr>
      <w:r w:rsidRPr="004F56E9">
        <w:rPr>
          <w:lang w:val="en-US"/>
        </w:rPr>
        <w:t xml:space="preserve">Articles 15 and 16 set the framework for such processing. Article 15 permits the processing of personal data outside Chapter 1 only if one of three conditions is met: necessary for a statutory obligation of the state, consent, or the rights and interests of the data subject are not infringed. Article 16 sets out the legitimate purposes for such processing, the most relevant being that the processing is mandated by law or necessary for national security or public interest. Both Articles 15 and 16 refer to other national laws generally. We refer to section 1.2 above for an overview and further assessments below.  </w:t>
      </w:r>
    </w:p>
    <w:p w14:paraId="234FFFAD" w14:textId="77777777" w:rsidR="00952CE2" w:rsidRPr="004F56E9" w:rsidRDefault="00952CE2" w:rsidP="00952CE2">
      <w:pPr>
        <w:rPr>
          <w:lang w:val="en-US"/>
        </w:rPr>
      </w:pPr>
      <w:r w:rsidRPr="004F56E9">
        <w:rPr>
          <w:lang w:val="en-US"/>
        </w:rPr>
        <w:t>Private companies and organizations cannot oppose requests for access to or collection of data by state authorities. However, organizations can file a complaint with the competent authority if they believe the request is unlawful. If a complaint is unsuccessful, the organization can appeal the case to the relevant national court or quasi-judicial body. The wording is otherwise silent on the scope and limits of the Taiwanese authorities' powers to collect data.</w:t>
      </w:r>
    </w:p>
    <w:p w14:paraId="4F1042B9" w14:textId="77777777" w:rsidR="00952CE2" w:rsidRPr="004F56E9" w:rsidRDefault="00952CE2" w:rsidP="00952CE2">
      <w:pPr>
        <w:rPr>
          <w:lang w:val="en-US"/>
        </w:rPr>
      </w:pPr>
    </w:p>
    <w:p w14:paraId="3DDC99DC" w14:textId="4F690D77" w:rsidR="00952CE2" w:rsidRPr="004F56E9" w:rsidRDefault="00952CE2" w:rsidP="00A12FA5">
      <w:pPr>
        <w:pStyle w:val="Overskrift3"/>
        <w:rPr>
          <w:lang w:val="en-US"/>
        </w:rPr>
      </w:pPr>
      <w:r w:rsidRPr="004F56E9">
        <w:rPr>
          <w:lang w:val="en-US"/>
        </w:rPr>
        <w:t>3.1.3. Legal Basis for Processing</w:t>
      </w:r>
    </w:p>
    <w:p w14:paraId="5D1DE299" w14:textId="77777777" w:rsidR="00952CE2" w:rsidRPr="004F56E9" w:rsidRDefault="00952CE2" w:rsidP="00952CE2">
      <w:pPr>
        <w:rPr>
          <w:lang w:val="en-US"/>
        </w:rPr>
      </w:pPr>
      <w:r w:rsidRPr="004F56E9">
        <w:rPr>
          <w:lang w:val="en-US"/>
        </w:rPr>
        <w:t xml:space="preserve">Under Chapter 1 of the PDPA, the state’s access to personal data is limited to cases where the following conditions are met:  </w:t>
      </w:r>
    </w:p>
    <w:p w14:paraId="5E8AEF82" w14:textId="3EA11500" w:rsidR="00952CE2" w:rsidRPr="00A12FA5" w:rsidRDefault="00952CE2" w:rsidP="00ED5184">
      <w:pPr>
        <w:pStyle w:val="Listeavsnitt"/>
        <w:numPr>
          <w:ilvl w:val="0"/>
          <w:numId w:val="13"/>
        </w:numPr>
        <w:rPr>
          <w:lang w:val="en-US"/>
        </w:rPr>
      </w:pPr>
      <w:r w:rsidRPr="00A12FA5">
        <w:rPr>
          <w:lang w:val="en-US"/>
        </w:rPr>
        <w:t xml:space="preserve">It is necessary to fulfill a statutory obligation of the state.  </w:t>
      </w:r>
    </w:p>
    <w:p w14:paraId="13132599" w14:textId="5B6ECD2F" w:rsidR="00952CE2" w:rsidRPr="00A12FA5" w:rsidRDefault="00952CE2" w:rsidP="00ED5184">
      <w:pPr>
        <w:pStyle w:val="Listeavsnitt"/>
        <w:numPr>
          <w:ilvl w:val="0"/>
          <w:numId w:val="13"/>
        </w:numPr>
        <w:rPr>
          <w:lang w:val="en-US"/>
        </w:rPr>
      </w:pPr>
      <w:r w:rsidRPr="00A12FA5">
        <w:rPr>
          <w:lang w:val="en-US"/>
        </w:rPr>
        <w:t xml:space="preserve">Consent has been obtained from the individual (data subject).  </w:t>
      </w:r>
    </w:p>
    <w:p w14:paraId="60960A1D" w14:textId="7C38E0FC" w:rsidR="00952CE2" w:rsidRPr="00A12FA5" w:rsidRDefault="00952CE2" w:rsidP="00ED5184">
      <w:pPr>
        <w:pStyle w:val="Listeavsnitt"/>
        <w:numPr>
          <w:ilvl w:val="0"/>
          <w:numId w:val="13"/>
        </w:numPr>
        <w:rPr>
          <w:lang w:val="en-US"/>
        </w:rPr>
      </w:pPr>
      <w:r w:rsidRPr="00A12FA5">
        <w:rPr>
          <w:lang w:val="en-US"/>
        </w:rPr>
        <w:t>The rights and interests of the data subject are not infringed.</w:t>
      </w:r>
    </w:p>
    <w:p w14:paraId="770EE8D4" w14:textId="77777777" w:rsidR="00952CE2" w:rsidRPr="004F56E9" w:rsidRDefault="00952CE2" w:rsidP="00952CE2">
      <w:pPr>
        <w:rPr>
          <w:lang w:val="en-US"/>
        </w:rPr>
      </w:pPr>
    </w:p>
    <w:p w14:paraId="1206F53E" w14:textId="0C36696C" w:rsidR="00952CE2" w:rsidRPr="004F56E9" w:rsidRDefault="00952CE2" w:rsidP="00A12FA5">
      <w:pPr>
        <w:pStyle w:val="Overskrift3"/>
        <w:rPr>
          <w:lang w:val="en-US"/>
        </w:rPr>
      </w:pPr>
      <w:r w:rsidRPr="004F56E9">
        <w:rPr>
          <w:lang w:val="en-US"/>
        </w:rPr>
        <w:t>3.1.4. Principles, Rights, and Other Restrictions on the Processing of Personal Data</w:t>
      </w:r>
    </w:p>
    <w:p w14:paraId="4EE6C8B3" w14:textId="2FB9FE31" w:rsidR="00952CE2" w:rsidRPr="004F56E9" w:rsidRDefault="00952CE2" w:rsidP="00952CE2">
      <w:pPr>
        <w:rPr>
          <w:lang w:val="en-US"/>
        </w:rPr>
      </w:pPr>
      <w:r w:rsidRPr="004F56E9">
        <w:rPr>
          <w:lang w:val="en-US"/>
        </w:rPr>
        <w:t>The PDPA includes overarching principles for compliance with the law. These principles are listed in various provisions.</w:t>
      </w:r>
      <w:r w:rsidR="002B7D04">
        <w:rPr>
          <w:rStyle w:val="Fotnotereferanse"/>
          <w:lang w:val="en-US"/>
        </w:rPr>
        <w:footnoteReference w:id="6"/>
      </w:r>
      <w:r w:rsidRPr="004F56E9">
        <w:rPr>
          <w:lang w:val="en-US"/>
        </w:rPr>
        <w:t xml:space="preserve"> The principles include requirements for proportional, adequate, and relevant </w:t>
      </w:r>
      <w:r w:rsidRPr="004F56E9">
        <w:rPr>
          <w:lang w:val="en-US"/>
        </w:rPr>
        <w:lastRenderedPageBreak/>
        <w:t xml:space="preserve">data processing; purpose limitation, necessity, and proportionality of the processing; special rules for sensitive personal data; and other principles </w:t>
      </w:r>
      <w:proofErr w:type="gramStart"/>
      <w:r w:rsidRPr="004F56E9">
        <w:rPr>
          <w:lang w:val="en-US"/>
        </w:rPr>
        <w:t>similar to</w:t>
      </w:r>
      <w:proofErr w:type="gramEnd"/>
      <w:r w:rsidRPr="004F56E9">
        <w:rPr>
          <w:lang w:val="en-US"/>
        </w:rPr>
        <w:t xml:space="preserve"> those found in the GDPR.</w:t>
      </w:r>
      <w:r w:rsidR="002B7D04">
        <w:rPr>
          <w:rStyle w:val="Fotnotereferanse"/>
          <w:lang w:val="en-US"/>
        </w:rPr>
        <w:footnoteReference w:id="7"/>
      </w:r>
    </w:p>
    <w:p w14:paraId="06AE66B4" w14:textId="77777777" w:rsidR="00952CE2" w:rsidRPr="004F56E9" w:rsidRDefault="00952CE2" w:rsidP="00952CE2">
      <w:pPr>
        <w:rPr>
          <w:lang w:val="en-US"/>
        </w:rPr>
      </w:pPr>
    </w:p>
    <w:p w14:paraId="6BA6BB8A" w14:textId="1E7709E3" w:rsidR="00952CE2" w:rsidRPr="004F56E9" w:rsidRDefault="00952CE2" w:rsidP="00F64A3E">
      <w:pPr>
        <w:pStyle w:val="Overskrift3"/>
        <w:rPr>
          <w:lang w:val="en-US"/>
        </w:rPr>
      </w:pPr>
      <w:r w:rsidRPr="004F56E9">
        <w:rPr>
          <w:lang w:val="en-US"/>
        </w:rPr>
        <w:t>3.1.5. Enforcement, Oversight, and Review of Rights</w:t>
      </w:r>
    </w:p>
    <w:p w14:paraId="15CEE446" w14:textId="70506476" w:rsidR="00952CE2" w:rsidRPr="004F56E9" w:rsidRDefault="00952CE2" w:rsidP="00952CE2">
      <w:pPr>
        <w:rPr>
          <w:lang w:val="en-US"/>
        </w:rPr>
      </w:pPr>
      <w:r w:rsidRPr="004F56E9">
        <w:rPr>
          <w:lang w:val="en-US"/>
        </w:rPr>
        <w:t>There is no dedicated independent supervisory authority comparable to European data protection authorities. However, later amendments to the PDPA have formalized the establishment of such an authority. This authority will be called the Personal Data Protection Commission (PDPC) but is not yet operational in practice.</w:t>
      </w:r>
      <w:r w:rsidR="000F6B0C">
        <w:rPr>
          <w:rStyle w:val="Fotnotereferanse"/>
          <w:lang w:val="en-US"/>
        </w:rPr>
        <w:footnoteReference w:id="8"/>
      </w:r>
      <w:r w:rsidRPr="004F56E9">
        <w:rPr>
          <w:lang w:val="en-US"/>
        </w:rPr>
        <w:t xml:space="preserve">  </w:t>
      </w:r>
    </w:p>
    <w:p w14:paraId="3D1803B5" w14:textId="77777777" w:rsidR="00952CE2" w:rsidRPr="004F56E9" w:rsidRDefault="00952CE2" w:rsidP="00952CE2">
      <w:pPr>
        <w:rPr>
          <w:lang w:val="en-US"/>
        </w:rPr>
      </w:pPr>
      <w:r w:rsidRPr="004F56E9">
        <w:rPr>
          <w:lang w:val="en-US"/>
        </w:rPr>
        <w:t>The National Development Council (NDC) is responsible for enforcing and issuing decisions on matters within the scope of the PDPA, as well as interpreting both the PDPA and the internal procedures that public bodies are required to establish under the PDPA.</w:t>
      </w:r>
    </w:p>
    <w:p w14:paraId="5D530C05" w14:textId="77777777" w:rsidR="00952CE2" w:rsidRPr="004F56E9" w:rsidRDefault="00952CE2" w:rsidP="00952CE2">
      <w:pPr>
        <w:rPr>
          <w:lang w:val="en-US"/>
        </w:rPr>
      </w:pPr>
    </w:p>
    <w:p w14:paraId="560110C7" w14:textId="57C2FF0A" w:rsidR="00952CE2" w:rsidRPr="004F56E9" w:rsidRDefault="00952CE2" w:rsidP="00F64A3E">
      <w:pPr>
        <w:pStyle w:val="Overskrift3"/>
        <w:rPr>
          <w:lang w:val="en-US"/>
        </w:rPr>
      </w:pPr>
      <w:r w:rsidRPr="004F56E9">
        <w:rPr>
          <w:lang w:val="en-US"/>
        </w:rPr>
        <w:t>3.1.6. Approach to GDPR and Adequacy Decision</w:t>
      </w:r>
    </w:p>
    <w:p w14:paraId="6264176F" w14:textId="3109FBE5" w:rsidR="00952CE2" w:rsidRPr="004F56E9" w:rsidRDefault="00952CE2" w:rsidP="00952CE2">
      <w:pPr>
        <w:rPr>
          <w:lang w:val="en-US"/>
        </w:rPr>
      </w:pPr>
      <w:r w:rsidRPr="004F56E9">
        <w:rPr>
          <w:lang w:val="en-US"/>
        </w:rPr>
        <w:t>The PDPA has undergone several amendments since its implementation in 2015. Some of these changes may have been influenced by European law, particularly the GDPR.</w:t>
      </w:r>
      <w:r w:rsidR="00AB6782">
        <w:rPr>
          <w:rStyle w:val="Fotnotereferanse"/>
          <w:lang w:val="en-US"/>
        </w:rPr>
        <w:footnoteReference w:id="9"/>
      </w:r>
      <w:r w:rsidRPr="004F56E9">
        <w:rPr>
          <w:lang w:val="en-US"/>
        </w:rPr>
        <w:t xml:space="preserve"> It appears that Taiwanese authorities have an ambition to achieve an adequacy decision from the EU.</w:t>
      </w:r>
      <w:r w:rsidR="00AB6782">
        <w:rPr>
          <w:rStyle w:val="Fotnotereferanse"/>
          <w:lang w:val="en-US"/>
        </w:rPr>
        <w:footnoteReference w:id="10"/>
      </w:r>
      <w:r w:rsidRPr="004F56E9">
        <w:rPr>
          <w:lang w:val="en-US"/>
        </w:rPr>
        <w:t xml:space="preserve"> Since 2015, several public hearings have been held with the goal of improving the PDPA in a democratic manner.</w:t>
      </w:r>
      <w:r w:rsidR="00AB6782">
        <w:rPr>
          <w:rStyle w:val="Fotnotereferanse"/>
          <w:lang w:val="en-US"/>
        </w:rPr>
        <w:footnoteReference w:id="11"/>
      </w:r>
      <w:r w:rsidRPr="004F56E9">
        <w:rPr>
          <w:lang w:val="en-US"/>
        </w:rPr>
        <w:t xml:space="preserve"> It is not known to the project whether, or at what stage, the EU is in the process of recognizing Taiwan as a lawful importer of personal data.</w:t>
      </w:r>
    </w:p>
    <w:p w14:paraId="34E3D5F7" w14:textId="77777777" w:rsidR="00952CE2" w:rsidRPr="004F56E9" w:rsidRDefault="00952CE2" w:rsidP="00952CE2">
      <w:pPr>
        <w:rPr>
          <w:lang w:val="en-US"/>
        </w:rPr>
      </w:pPr>
    </w:p>
    <w:p w14:paraId="23943A00" w14:textId="121999A5" w:rsidR="00952CE2" w:rsidRPr="004F56E9" w:rsidRDefault="00952CE2" w:rsidP="00F64A3E">
      <w:pPr>
        <w:pStyle w:val="Overskrift2"/>
        <w:rPr>
          <w:lang w:val="en-US"/>
        </w:rPr>
      </w:pPr>
      <w:bookmarkStart w:id="8" w:name="_Toc176427838"/>
      <w:r w:rsidRPr="004F56E9">
        <w:rPr>
          <w:lang w:val="en-US"/>
        </w:rPr>
        <w:t>3.2. Communication Security and Surveillance Act (CSSA)</w:t>
      </w:r>
      <w:bookmarkEnd w:id="8"/>
    </w:p>
    <w:p w14:paraId="0881E09A" w14:textId="77777777" w:rsidR="00952CE2" w:rsidRPr="004F56E9" w:rsidRDefault="00952CE2" w:rsidP="00952CE2">
      <w:pPr>
        <w:rPr>
          <w:lang w:val="en-US"/>
        </w:rPr>
      </w:pPr>
    </w:p>
    <w:p w14:paraId="79923C2C" w14:textId="6EBEF799" w:rsidR="00952CE2" w:rsidRPr="004F56E9" w:rsidRDefault="00952CE2" w:rsidP="00F64A3E">
      <w:pPr>
        <w:pStyle w:val="Overskrift3"/>
        <w:rPr>
          <w:lang w:val="en-US"/>
        </w:rPr>
      </w:pPr>
      <w:r w:rsidRPr="004F56E9">
        <w:rPr>
          <w:lang w:val="en-US"/>
        </w:rPr>
        <w:t>3.2.1. Scope of the Law</w:t>
      </w:r>
    </w:p>
    <w:p w14:paraId="0874D077" w14:textId="77777777" w:rsidR="00952CE2" w:rsidRPr="004F56E9" w:rsidRDefault="00952CE2" w:rsidP="00952CE2">
      <w:pPr>
        <w:rPr>
          <w:lang w:val="en-US"/>
        </w:rPr>
      </w:pPr>
      <w:r w:rsidRPr="004F56E9">
        <w:rPr>
          <w:lang w:val="en-US"/>
        </w:rPr>
        <w:t xml:space="preserve">The Communication Security and Surveillance Act ("CSSA") authorizes governmental surveillance of communications deemed relevant to police or other governmental investigations.  </w:t>
      </w:r>
    </w:p>
    <w:p w14:paraId="046E08D3" w14:textId="77777777" w:rsidR="00952CE2" w:rsidRPr="004F56E9" w:rsidRDefault="00952CE2" w:rsidP="00952CE2">
      <w:pPr>
        <w:rPr>
          <w:lang w:val="en-US"/>
        </w:rPr>
      </w:pPr>
      <w:r w:rsidRPr="004F56E9">
        <w:rPr>
          <w:lang w:val="en-US"/>
        </w:rPr>
        <w:t xml:space="preserve">The purpose of the law is as follows:  </w:t>
      </w:r>
    </w:p>
    <w:p w14:paraId="0C5544D9" w14:textId="77777777" w:rsidR="00952CE2" w:rsidRPr="004F56E9" w:rsidRDefault="00952CE2" w:rsidP="00952CE2">
      <w:pPr>
        <w:rPr>
          <w:lang w:val="en-US"/>
        </w:rPr>
      </w:pPr>
      <w:r w:rsidRPr="004F56E9">
        <w:rPr>
          <w:lang w:val="en-US"/>
        </w:rPr>
        <w:t xml:space="preserve">"This Act is enacted to safeguard the freedom of private communications and privacy, to protect from unlawful intrusion, and to ensure national security and maintain social order." (cf. Article 1)  </w:t>
      </w:r>
    </w:p>
    <w:p w14:paraId="3E3EE32B" w14:textId="77777777" w:rsidR="00952CE2" w:rsidRPr="004F56E9" w:rsidRDefault="00952CE2" w:rsidP="00952CE2">
      <w:pPr>
        <w:rPr>
          <w:lang w:val="en-US"/>
        </w:rPr>
      </w:pPr>
      <w:r w:rsidRPr="004F56E9">
        <w:rPr>
          <w:lang w:val="en-US"/>
        </w:rPr>
        <w:t>Under Article 13, surveillance should be conducted by "intercepting, wiretapping, sound recording, video recording, photographing, opening, checking, copying communications or other similar necessary methods [...]." The CSSA does not provide clear guidance on the distinction between targeted surveillance and bulk data collection or the legal basis for this.</w:t>
      </w:r>
    </w:p>
    <w:p w14:paraId="0D9DB427" w14:textId="77777777" w:rsidR="00952CE2" w:rsidRPr="004F56E9" w:rsidRDefault="00952CE2" w:rsidP="00952CE2">
      <w:pPr>
        <w:rPr>
          <w:lang w:val="en-US"/>
        </w:rPr>
      </w:pPr>
    </w:p>
    <w:p w14:paraId="7614F33D" w14:textId="2F2DA809" w:rsidR="00952CE2" w:rsidRPr="004F56E9" w:rsidRDefault="00952CE2" w:rsidP="00F64A3E">
      <w:pPr>
        <w:pStyle w:val="Overskrift3"/>
        <w:rPr>
          <w:lang w:val="en-US"/>
        </w:rPr>
      </w:pPr>
      <w:r w:rsidRPr="004F56E9">
        <w:rPr>
          <w:lang w:val="en-US"/>
        </w:rPr>
        <w:lastRenderedPageBreak/>
        <w:t>3.2.2. Government Access to Transferred Data</w:t>
      </w:r>
    </w:p>
    <w:p w14:paraId="33806154" w14:textId="77777777" w:rsidR="00952CE2" w:rsidRPr="004F56E9" w:rsidRDefault="00952CE2" w:rsidP="00952CE2">
      <w:pPr>
        <w:rPr>
          <w:lang w:val="en-US"/>
        </w:rPr>
      </w:pPr>
      <w:r w:rsidRPr="004F56E9">
        <w:rPr>
          <w:lang w:val="en-US"/>
        </w:rPr>
        <w:t xml:space="preserve">Surveillance under the CSSA is not limited to information about or communications between residents of Taiwan. Under Article 7, the target of a specific surveillance activity can be:  </w:t>
      </w:r>
    </w:p>
    <w:p w14:paraId="5F229B4C" w14:textId="4A041229" w:rsidR="00952CE2" w:rsidRPr="004568F2" w:rsidRDefault="00952CE2" w:rsidP="00ED5184">
      <w:pPr>
        <w:pStyle w:val="Listeavsnitt"/>
        <w:numPr>
          <w:ilvl w:val="0"/>
          <w:numId w:val="12"/>
        </w:numPr>
        <w:rPr>
          <w:lang w:val="en-US"/>
        </w:rPr>
      </w:pPr>
      <w:r w:rsidRPr="004568F2">
        <w:rPr>
          <w:lang w:val="en-US"/>
        </w:rPr>
        <w:t xml:space="preserve">"Domestic communications of foreign forces, hostile foreign forces, or their agents,"  </w:t>
      </w:r>
    </w:p>
    <w:p w14:paraId="54733583" w14:textId="71365CF6" w:rsidR="00952CE2" w:rsidRPr="004568F2" w:rsidRDefault="00952CE2" w:rsidP="00ED5184">
      <w:pPr>
        <w:pStyle w:val="Listeavsnitt"/>
        <w:numPr>
          <w:ilvl w:val="0"/>
          <w:numId w:val="12"/>
        </w:numPr>
        <w:rPr>
          <w:lang w:val="en-US"/>
        </w:rPr>
      </w:pPr>
      <w:r w:rsidRPr="004568F2">
        <w:rPr>
          <w:lang w:val="en-US"/>
        </w:rPr>
        <w:t xml:space="preserve">"Cross-border communications of foreign forces, hostile foreign forces, </w:t>
      </w:r>
      <w:proofErr w:type="gramStart"/>
      <w:r w:rsidRPr="004568F2">
        <w:rPr>
          <w:lang w:val="en-US"/>
        </w:rPr>
        <w:t>or</w:t>
      </w:r>
      <w:r w:rsidR="004568F2" w:rsidRPr="004568F2">
        <w:rPr>
          <w:lang w:val="en-US"/>
        </w:rPr>
        <w:t xml:space="preserve"> </w:t>
      </w:r>
      <w:r w:rsidRPr="004568F2">
        <w:rPr>
          <w:lang w:val="en-US"/>
        </w:rPr>
        <w:t xml:space="preserve"> their</w:t>
      </w:r>
      <w:proofErr w:type="gramEnd"/>
      <w:r w:rsidRPr="004568F2">
        <w:rPr>
          <w:lang w:val="en-US"/>
        </w:rPr>
        <w:t xml:space="preserve"> agents,"  </w:t>
      </w:r>
    </w:p>
    <w:p w14:paraId="62D8B323" w14:textId="1C799984" w:rsidR="00952CE2" w:rsidRPr="004568F2" w:rsidRDefault="00952CE2" w:rsidP="00ED5184">
      <w:pPr>
        <w:pStyle w:val="Listeavsnitt"/>
        <w:numPr>
          <w:ilvl w:val="0"/>
          <w:numId w:val="12"/>
        </w:numPr>
        <w:rPr>
          <w:lang w:val="en-US"/>
        </w:rPr>
      </w:pPr>
      <w:r w:rsidRPr="004568F2">
        <w:rPr>
          <w:lang w:val="en-US"/>
        </w:rPr>
        <w:t xml:space="preserve">"Offshore communications of foreign forces, hostile foreign forces, or their agents."  </w:t>
      </w:r>
    </w:p>
    <w:p w14:paraId="2E5D29AC" w14:textId="77777777" w:rsidR="00952CE2" w:rsidRPr="004F56E9" w:rsidRDefault="00952CE2" w:rsidP="00952CE2">
      <w:pPr>
        <w:rPr>
          <w:lang w:val="en-US"/>
        </w:rPr>
      </w:pPr>
      <w:r w:rsidRPr="004F56E9">
        <w:rPr>
          <w:lang w:val="en-US"/>
        </w:rPr>
        <w:t xml:space="preserve">The term "foreign forces" is defined in Article 8 and includes:  </w:t>
      </w:r>
    </w:p>
    <w:p w14:paraId="47146ACC" w14:textId="2A5D73D0" w:rsidR="00952CE2" w:rsidRPr="004568F2" w:rsidRDefault="00952CE2" w:rsidP="00ED5184">
      <w:pPr>
        <w:pStyle w:val="Listeavsnitt"/>
        <w:numPr>
          <w:ilvl w:val="0"/>
          <w:numId w:val="12"/>
        </w:numPr>
        <w:rPr>
          <w:lang w:val="en-US"/>
        </w:rPr>
      </w:pPr>
      <w:r w:rsidRPr="004568F2">
        <w:rPr>
          <w:lang w:val="en-US"/>
        </w:rPr>
        <w:t xml:space="preserve">"Foreign governments, foreign or overseas political entities, their subordinate organizations or representative agencies,"  </w:t>
      </w:r>
    </w:p>
    <w:p w14:paraId="7552009A" w14:textId="754440D0" w:rsidR="00952CE2" w:rsidRPr="004568F2" w:rsidRDefault="00952CE2" w:rsidP="00ED5184">
      <w:pPr>
        <w:pStyle w:val="Listeavsnitt"/>
        <w:numPr>
          <w:ilvl w:val="0"/>
          <w:numId w:val="12"/>
        </w:numPr>
        <w:rPr>
          <w:lang w:val="en-US"/>
        </w:rPr>
      </w:pPr>
      <w:r w:rsidRPr="004568F2">
        <w:rPr>
          <w:lang w:val="en-US"/>
        </w:rPr>
        <w:t xml:space="preserve">"Organizations under the direction or control of foreign governments, foreign or overseas political entities,"  </w:t>
      </w:r>
    </w:p>
    <w:p w14:paraId="65EE14BF" w14:textId="5C92682D" w:rsidR="00952CE2" w:rsidRPr="004568F2" w:rsidRDefault="00952CE2" w:rsidP="00ED5184">
      <w:pPr>
        <w:pStyle w:val="Listeavsnitt"/>
        <w:numPr>
          <w:ilvl w:val="0"/>
          <w:numId w:val="12"/>
        </w:numPr>
        <w:rPr>
          <w:lang w:val="en-US"/>
        </w:rPr>
      </w:pPr>
      <w:r w:rsidRPr="004568F2">
        <w:rPr>
          <w:lang w:val="en-US"/>
        </w:rPr>
        <w:t xml:space="preserve">"Organizations with the aim of operating international or cross-border terrorist activities."  </w:t>
      </w:r>
    </w:p>
    <w:p w14:paraId="799EC683" w14:textId="77777777" w:rsidR="00952CE2" w:rsidRPr="004F56E9" w:rsidRDefault="00952CE2" w:rsidP="00952CE2">
      <w:pPr>
        <w:rPr>
          <w:lang w:val="en-US"/>
        </w:rPr>
      </w:pPr>
      <w:r w:rsidRPr="004F56E9">
        <w:rPr>
          <w:lang w:val="en-US"/>
        </w:rPr>
        <w:t xml:space="preserve">The term "agent of foreign forces or offshore hostile forces" is defined in Article 9 as:  </w:t>
      </w:r>
    </w:p>
    <w:p w14:paraId="5B329BB4" w14:textId="745377FC" w:rsidR="00952CE2" w:rsidRPr="004568F2" w:rsidRDefault="00952CE2" w:rsidP="00ED5184">
      <w:pPr>
        <w:pStyle w:val="Listeavsnitt"/>
        <w:numPr>
          <w:ilvl w:val="0"/>
          <w:numId w:val="12"/>
        </w:numPr>
        <w:rPr>
          <w:lang w:val="en-US"/>
        </w:rPr>
      </w:pPr>
      <w:r w:rsidRPr="004568F2">
        <w:rPr>
          <w:lang w:val="en-US"/>
        </w:rPr>
        <w:t xml:space="preserve">"A person who participates, coerces others, or abets others in gathering secret intelligence, or other secret intelligence activities for foreign forces or offshore hostile forces, that risk endangering national security,"  </w:t>
      </w:r>
    </w:p>
    <w:p w14:paraId="3F8C3C01" w14:textId="44698996" w:rsidR="00952CE2" w:rsidRPr="004568F2" w:rsidRDefault="00952CE2" w:rsidP="00ED5184">
      <w:pPr>
        <w:pStyle w:val="Listeavsnitt"/>
        <w:numPr>
          <w:ilvl w:val="0"/>
          <w:numId w:val="12"/>
        </w:numPr>
        <w:rPr>
          <w:lang w:val="en-US"/>
        </w:rPr>
      </w:pPr>
      <w:r w:rsidRPr="004568F2">
        <w:rPr>
          <w:lang w:val="en-US"/>
        </w:rPr>
        <w:t xml:space="preserve">"A person who participates, coerces others, or abets others in sabotage or cross-border terrorist activities for foreign forces or offshore hostile forces,"  </w:t>
      </w:r>
    </w:p>
    <w:p w14:paraId="01E6D69F" w14:textId="7137EFDF" w:rsidR="00952CE2" w:rsidRDefault="00952CE2" w:rsidP="00ED5184">
      <w:pPr>
        <w:pStyle w:val="Listeavsnitt"/>
        <w:numPr>
          <w:ilvl w:val="0"/>
          <w:numId w:val="12"/>
        </w:numPr>
        <w:rPr>
          <w:lang w:val="en-US"/>
        </w:rPr>
      </w:pPr>
      <w:r w:rsidRPr="004568F2">
        <w:rPr>
          <w:lang w:val="en-US"/>
        </w:rPr>
        <w:t>"A person who serves as an official, or an employee for foreign forces or offshore hostile forces, or as a member of an international terrorist organization."</w:t>
      </w:r>
    </w:p>
    <w:p w14:paraId="4987C59E" w14:textId="77777777" w:rsidR="004568F2" w:rsidRPr="004568F2" w:rsidRDefault="004568F2" w:rsidP="004568F2">
      <w:pPr>
        <w:rPr>
          <w:lang w:val="en-US"/>
        </w:rPr>
      </w:pPr>
    </w:p>
    <w:p w14:paraId="77D4C481" w14:textId="05943A10" w:rsidR="00952CE2" w:rsidRPr="004F56E9" w:rsidRDefault="00952CE2" w:rsidP="000445A6">
      <w:pPr>
        <w:pStyle w:val="Overskrift3"/>
        <w:rPr>
          <w:lang w:val="en-US"/>
        </w:rPr>
      </w:pPr>
      <w:r w:rsidRPr="004F56E9">
        <w:rPr>
          <w:lang w:val="en-US"/>
        </w:rPr>
        <w:t>3.2.3. Legal Basis for Processing</w:t>
      </w:r>
    </w:p>
    <w:p w14:paraId="273159E4" w14:textId="77777777" w:rsidR="00952CE2" w:rsidRPr="004F56E9" w:rsidRDefault="00952CE2" w:rsidP="00952CE2">
      <w:pPr>
        <w:rPr>
          <w:lang w:val="en-US"/>
        </w:rPr>
      </w:pPr>
      <w:r w:rsidRPr="004F56E9">
        <w:rPr>
          <w:lang w:val="en-US"/>
        </w:rPr>
        <w:t>Surveillance under the CSSA requires several legal conditions to be met. Under Article 5(1) of the CSSA, surveillance must be directed towards "communications" or "communications records." "Communications" means "[u]</w:t>
      </w:r>
      <w:proofErr w:type="spellStart"/>
      <w:r w:rsidRPr="004F56E9">
        <w:rPr>
          <w:lang w:val="en-US"/>
        </w:rPr>
        <w:t>tilizing</w:t>
      </w:r>
      <w:proofErr w:type="spellEnd"/>
      <w:r w:rsidRPr="004F56E9">
        <w:rPr>
          <w:lang w:val="en-US"/>
        </w:rPr>
        <w:t xml:space="preserve"> wired and wireless telecommunication equipment to send, store, transmit, or receive symbols, texts, images, sound, or other types of information" (cf. Article 3, no. 1). This includes mail and letters, as well as speeches and conversations (cf. nos. 2 and 3). "Communications records" refers to data types such as metadata, which in Article 3-1 is described as "records such as the telecommunications numbers of the sender and the recipient, time of communication, length of use, address, service type, mailbox or location information generated by the telecommunications system after the telecommunications user uses the telecommunications services."  </w:t>
      </w:r>
    </w:p>
    <w:p w14:paraId="2B524151" w14:textId="4DB9E4B2" w:rsidR="00952CE2" w:rsidRPr="004F56E9" w:rsidRDefault="00952CE2" w:rsidP="00952CE2">
      <w:pPr>
        <w:rPr>
          <w:lang w:val="en-US"/>
        </w:rPr>
      </w:pPr>
      <w:r w:rsidRPr="004F56E9">
        <w:rPr>
          <w:lang w:val="en-US"/>
        </w:rPr>
        <w:t>Based on the wording of Article 5, the CSSA covers most data that would naturally fall under the concept of communications, including both digital and analog communications. Authorization for surveillance is only granted in cases of criminal or law-enforcement investigations under Taiwanese law.</w:t>
      </w:r>
      <w:r w:rsidR="00F67B77">
        <w:rPr>
          <w:rStyle w:val="Fotnotereferanse"/>
          <w:lang w:val="en-US"/>
        </w:rPr>
        <w:footnoteReference w:id="12"/>
      </w:r>
    </w:p>
    <w:p w14:paraId="0DA090D4" w14:textId="77777777" w:rsidR="00952CE2" w:rsidRPr="004F56E9" w:rsidRDefault="00952CE2" w:rsidP="00952CE2">
      <w:pPr>
        <w:rPr>
          <w:lang w:val="en-US"/>
        </w:rPr>
      </w:pPr>
    </w:p>
    <w:p w14:paraId="63E0C4AB" w14:textId="228434A8" w:rsidR="00952CE2" w:rsidRPr="004F56E9" w:rsidRDefault="00952CE2" w:rsidP="000445A6">
      <w:pPr>
        <w:pStyle w:val="Overskrift3"/>
        <w:rPr>
          <w:lang w:val="en-US"/>
        </w:rPr>
      </w:pPr>
      <w:r w:rsidRPr="004F56E9">
        <w:rPr>
          <w:lang w:val="en-US"/>
        </w:rPr>
        <w:lastRenderedPageBreak/>
        <w:t>3.2.4. Principles, Rights, and Other Limitations</w:t>
      </w:r>
    </w:p>
    <w:p w14:paraId="4951E561" w14:textId="77777777" w:rsidR="00952CE2" w:rsidRPr="004F56E9" w:rsidRDefault="00952CE2" w:rsidP="00952CE2">
      <w:pPr>
        <w:rPr>
          <w:lang w:val="en-US"/>
        </w:rPr>
      </w:pPr>
      <w:r w:rsidRPr="004F56E9">
        <w:rPr>
          <w:lang w:val="en-US"/>
        </w:rPr>
        <w:t>Surveillance must be necessary and proportional. Article 2 stipulates that: "The surveillance mentioned in the preceding Paragraph shall not exceed the necessary limits to achieve the objective, and the appropriate methods for the action should have only the minimum intrusion."</w:t>
      </w:r>
    </w:p>
    <w:p w14:paraId="65D99BB8" w14:textId="77777777" w:rsidR="00952CE2" w:rsidRPr="004F56E9" w:rsidRDefault="00952CE2" w:rsidP="00952CE2">
      <w:pPr>
        <w:rPr>
          <w:lang w:val="en-US"/>
        </w:rPr>
      </w:pPr>
    </w:p>
    <w:p w14:paraId="6837C7BE" w14:textId="44E4D764" w:rsidR="00952CE2" w:rsidRPr="004F56E9" w:rsidRDefault="00952CE2" w:rsidP="000445A6">
      <w:pPr>
        <w:pStyle w:val="Overskrift3"/>
        <w:rPr>
          <w:lang w:val="en-US"/>
        </w:rPr>
      </w:pPr>
      <w:r w:rsidRPr="004F56E9">
        <w:rPr>
          <w:lang w:val="en-US"/>
        </w:rPr>
        <w:t>3.2.5. Enforcement, Oversight, and Review of Rights</w:t>
      </w:r>
    </w:p>
    <w:p w14:paraId="1C00B4AD" w14:textId="77777777" w:rsidR="00952CE2" w:rsidRPr="004F56E9" w:rsidRDefault="00952CE2" w:rsidP="00952CE2">
      <w:pPr>
        <w:rPr>
          <w:lang w:val="en-US"/>
        </w:rPr>
      </w:pPr>
      <w:r w:rsidRPr="004F56E9">
        <w:rPr>
          <w:lang w:val="en-US"/>
        </w:rPr>
        <w:t>Under Article 5(2), no surveillance can be initiated without approval or an "interception warrant" from "the court." It is unclear which court or judicial authority the term "the court" refers to. However, it is assumed that this includes all ordinary courts in Taiwan that have jurisdiction over criminal matters. More on judicial oversight is addressed in section 4.</w:t>
      </w:r>
    </w:p>
    <w:p w14:paraId="62200EA9" w14:textId="77777777" w:rsidR="00952CE2" w:rsidRPr="004F56E9" w:rsidRDefault="00952CE2" w:rsidP="00952CE2">
      <w:pPr>
        <w:rPr>
          <w:lang w:val="en-US"/>
        </w:rPr>
      </w:pPr>
    </w:p>
    <w:p w14:paraId="7FBA6534" w14:textId="7B281765" w:rsidR="00952CE2" w:rsidRPr="004F56E9" w:rsidRDefault="00952CE2" w:rsidP="00C1166F">
      <w:pPr>
        <w:pStyle w:val="Overskrift2"/>
        <w:rPr>
          <w:lang w:val="en-US"/>
        </w:rPr>
      </w:pPr>
      <w:bookmarkStart w:id="9" w:name="_Toc176427839"/>
      <w:r w:rsidRPr="004F56E9">
        <w:rPr>
          <w:lang w:val="en-US"/>
        </w:rPr>
        <w:t>3.3. Telecommunications Act and Telecommunications Management Act</w:t>
      </w:r>
      <w:bookmarkEnd w:id="9"/>
    </w:p>
    <w:p w14:paraId="4629733B" w14:textId="1A27E050" w:rsidR="00952CE2" w:rsidRPr="004F56E9" w:rsidRDefault="00952CE2" w:rsidP="00C1166F">
      <w:pPr>
        <w:pStyle w:val="Overskrift3"/>
        <w:rPr>
          <w:lang w:val="en-US"/>
        </w:rPr>
      </w:pPr>
      <w:r w:rsidRPr="004F56E9">
        <w:rPr>
          <w:lang w:val="en-US"/>
        </w:rPr>
        <w:t>3.3.1. Scope of the Law</w:t>
      </w:r>
    </w:p>
    <w:p w14:paraId="275D8ADB" w14:textId="4788F4F9" w:rsidR="00952CE2" w:rsidRPr="004F56E9" w:rsidRDefault="00952CE2" w:rsidP="00952CE2">
      <w:pPr>
        <w:rPr>
          <w:lang w:val="en-US"/>
        </w:rPr>
      </w:pPr>
      <w:r w:rsidRPr="004F56E9">
        <w:rPr>
          <w:lang w:val="en-US"/>
        </w:rPr>
        <w:t>The Telecommunications Act ("TA") came into effect in 1996 but was later replaced by the Telecommunications Management Act ("TMA") in July 2020.</w:t>
      </w:r>
      <w:r w:rsidR="00C85351">
        <w:rPr>
          <w:rStyle w:val="Fotnotereferanse"/>
          <w:lang w:val="en-US"/>
        </w:rPr>
        <w:footnoteReference w:id="13"/>
      </w:r>
      <w:r w:rsidRPr="004F56E9">
        <w:rPr>
          <w:lang w:val="en-US"/>
        </w:rPr>
        <w:t xml:space="preserve"> The purpose of the legislation was to ensure the safe development of telecommunications, promote public welfare, protect communications, and safeguard the rights and interests of telecommunications users in Taiwan.</w:t>
      </w:r>
      <w:r w:rsidR="00C85351">
        <w:rPr>
          <w:rStyle w:val="Fotnotereferanse"/>
          <w:lang w:val="en-US"/>
        </w:rPr>
        <w:footnoteReference w:id="14"/>
      </w:r>
      <w:r w:rsidRPr="004F56E9">
        <w:rPr>
          <w:lang w:val="en-US"/>
        </w:rPr>
        <w:t xml:space="preserve">  </w:t>
      </w:r>
    </w:p>
    <w:p w14:paraId="4AA4AB01" w14:textId="77777777" w:rsidR="00952CE2" w:rsidRPr="004F56E9" w:rsidRDefault="00952CE2" w:rsidP="00952CE2">
      <w:pPr>
        <w:rPr>
          <w:lang w:val="en-US"/>
        </w:rPr>
      </w:pPr>
      <w:r w:rsidRPr="004F56E9">
        <w:rPr>
          <w:lang w:val="en-US"/>
        </w:rPr>
        <w:t>The TMA continues and expands upon the purposes of the TA. This also applies to large portions of the TA's other provisions. Despite the continuity, the introduction of the TMA is considered a significant legal change in Taiwan. Of particular interest to this project are the changes to the legal bases for disclosure requests from state authorities under the TA.</w:t>
      </w:r>
    </w:p>
    <w:p w14:paraId="2A412F17" w14:textId="77777777" w:rsidR="00952CE2" w:rsidRPr="004F56E9" w:rsidRDefault="00952CE2" w:rsidP="00952CE2">
      <w:pPr>
        <w:rPr>
          <w:lang w:val="en-US"/>
        </w:rPr>
      </w:pPr>
    </w:p>
    <w:p w14:paraId="21B84426" w14:textId="06D50D65" w:rsidR="00952CE2" w:rsidRPr="004F56E9" w:rsidRDefault="00952CE2" w:rsidP="00C1166F">
      <w:pPr>
        <w:pStyle w:val="Overskrift3"/>
        <w:rPr>
          <w:lang w:val="en-US"/>
        </w:rPr>
      </w:pPr>
      <w:r w:rsidRPr="004F56E9">
        <w:rPr>
          <w:lang w:val="en-US"/>
        </w:rPr>
        <w:t>3.3.2. Government Access to Transferred Data under the TA</w:t>
      </w:r>
    </w:p>
    <w:p w14:paraId="6CE1E29A" w14:textId="77777777" w:rsidR="00952CE2" w:rsidRPr="004F56E9" w:rsidRDefault="00952CE2" w:rsidP="00952CE2">
      <w:pPr>
        <w:rPr>
          <w:lang w:val="en-US"/>
        </w:rPr>
      </w:pPr>
      <w:r w:rsidRPr="004F56E9">
        <w:rPr>
          <w:lang w:val="en-US"/>
        </w:rPr>
        <w:t xml:space="preserve">Article 7 of the TA states that a "telecommunications enterprise or its employees, including the retired, shall hold the existence and contents of communications in strict confidence."  </w:t>
      </w:r>
    </w:p>
    <w:p w14:paraId="30BF0E61" w14:textId="77777777" w:rsidR="00952CE2" w:rsidRPr="004F56E9" w:rsidRDefault="00952CE2" w:rsidP="00952CE2">
      <w:pPr>
        <w:rPr>
          <w:lang w:val="en-US"/>
        </w:rPr>
      </w:pPr>
      <w:r w:rsidRPr="004F56E9">
        <w:rPr>
          <w:lang w:val="en-US"/>
        </w:rPr>
        <w:t xml:space="preserve">The wording suggests a general rule that data obtained and stored in connection with the use of electronic tools in Taiwan must be archived and secured. Exceptions to this general rule are triggered when "the disclosure of such records" is carried out in accordance with applicable laws and regulations. Which applicable laws and regulations these are is not specified. However, it can be assumed that this is an implicit reference to the CCP and CSSA, as in the PDPA.  </w:t>
      </w:r>
    </w:p>
    <w:p w14:paraId="2C977063" w14:textId="56993488" w:rsidR="00952CE2" w:rsidRPr="004F56E9" w:rsidRDefault="00952CE2" w:rsidP="00952CE2">
      <w:pPr>
        <w:rPr>
          <w:lang w:val="en-US"/>
        </w:rPr>
      </w:pPr>
      <w:r w:rsidRPr="004F56E9">
        <w:rPr>
          <w:lang w:val="en-US"/>
        </w:rPr>
        <w:t>Article 3 of the "Regulation for Handling Requests from Competent Authorities for Comm. Rec." is also relevant in this context. According to J. Marshall, the criteria for disclosure involve a "‘[...] easy-to-meet’ standard that only requires the applicant agency to state the necessity, reasonableness, and proportionality when requesting the records."</w:t>
      </w:r>
      <w:r w:rsidR="0083105C">
        <w:rPr>
          <w:rStyle w:val="Fotnotereferanse"/>
          <w:lang w:val="en-US"/>
        </w:rPr>
        <w:footnoteReference w:id="15"/>
      </w:r>
      <w:r w:rsidRPr="004F56E9">
        <w:rPr>
          <w:lang w:val="en-US"/>
        </w:rPr>
        <w:t xml:space="preserve"> The project is unable to verify whether this </w:t>
      </w:r>
      <w:r w:rsidRPr="004F56E9">
        <w:rPr>
          <w:lang w:val="en-US"/>
        </w:rPr>
        <w:lastRenderedPageBreak/>
        <w:t>understanding is correct, as the mentioned regulation is no longer available, likely due to the TA being replaced by the TMA in 2020.</w:t>
      </w:r>
    </w:p>
    <w:p w14:paraId="48BF54F0" w14:textId="77777777" w:rsidR="00952CE2" w:rsidRPr="004F56E9" w:rsidRDefault="00952CE2" w:rsidP="00952CE2">
      <w:pPr>
        <w:rPr>
          <w:lang w:val="en-US"/>
        </w:rPr>
      </w:pPr>
    </w:p>
    <w:p w14:paraId="6F2A6642" w14:textId="366F953D" w:rsidR="00952CE2" w:rsidRPr="004F56E9" w:rsidRDefault="00952CE2" w:rsidP="00C1166F">
      <w:pPr>
        <w:pStyle w:val="Overskrift3"/>
        <w:rPr>
          <w:lang w:val="en-US"/>
        </w:rPr>
      </w:pPr>
      <w:r w:rsidRPr="004F56E9">
        <w:rPr>
          <w:lang w:val="en-US"/>
        </w:rPr>
        <w:t>3.3.3. Government Access to Transferred Data under the TMA</w:t>
      </w:r>
    </w:p>
    <w:p w14:paraId="05539D3A" w14:textId="77777777" w:rsidR="00952CE2" w:rsidRPr="004F56E9" w:rsidRDefault="00952CE2" w:rsidP="00952CE2">
      <w:pPr>
        <w:rPr>
          <w:lang w:val="en-US"/>
        </w:rPr>
      </w:pPr>
      <w:r w:rsidRPr="004F56E9">
        <w:rPr>
          <w:lang w:val="en-US"/>
        </w:rPr>
        <w:t>The general rule on the archiving and protection of "records" has been carried over into the TMA, albeit with a slightly different wording (see Article 7 in the TA above). The TMA does not appear to retain the exception regarding disclosures to state authorities. Exceptions to the general rule may still occur, but the conditions have been altered. With respect to the disclosure of data to state authorities, reference is made to the relevant provisions and exceptions in the CSSA (see Article 9, final paragraph). It states: "Telecommunications enterprises and those who have established PSTN are obliged to assist in the implementation of communication surveillance and in the access of communications records and communications user’s information in accordance with the Communication Security and Surveillance Act."</w:t>
      </w:r>
    </w:p>
    <w:p w14:paraId="7F3AC018" w14:textId="1486BFE4" w:rsidR="00C1166F" w:rsidRDefault="00C1166F">
      <w:pPr>
        <w:rPr>
          <w:lang w:val="en-US"/>
        </w:rPr>
      </w:pPr>
    </w:p>
    <w:p w14:paraId="41558953" w14:textId="6060DE3D" w:rsidR="00952CE2" w:rsidRPr="004F56E9" w:rsidRDefault="00952CE2" w:rsidP="00C1166F">
      <w:pPr>
        <w:pStyle w:val="Overskrift1"/>
        <w:rPr>
          <w:lang w:val="en-US"/>
        </w:rPr>
      </w:pPr>
      <w:bookmarkStart w:id="10" w:name="_Toc176427840"/>
      <w:r w:rsidRPr="004F56E9">
        <w:rPr>
          <w:lang w:val="en-US"/>
        </w:rPr>
        <w:t>4. Country Assessment - Taiwan</w:t>
      </w:r>
      <w:bookmarkEnd w:id="10"/>
    </w:p>
    <w:p w14:paraId="5E99EB87" w14:textId="4C167055" w:rsidR="00952CE2" w:rsidRPr="004F56E9" w:rsidRDefault="00952CE2" w:rsidP="00C1166F">
      <w:pPr>
        <w:pStyle w:val="Overskrift2"/>
        <w:rPr>
          <w:lang w:val="en-US"/>
        </w:rPr>
      </w:pPr>
      <w:bookmarkStart w:id="11" w:name="_Toc176427841"/>
      <w:r w:rsidRPr="004F56E9">
        <w:rPr>
          <w:lang w:val="en-US"/>
        </w:rPr>
        <w:t>4.1. Overall Issue and Method</w:t>
      </w:r>
      <w:bookmarkEnd w:id="11"/>
    </w:p>
    <w:p w14:paraId="66F74B1E" w14:textId="2FF8AE98" w:rsidR="00DE2E3E" w:rsidRDefault="00952CE2" w:rsidP="00952CE2">
      <w:pPr>
        <w:rPr>
          <w:lang w:val="en-US"/>
        </w:rPr>
      </w:pPr>
      <w:r w:rsidRPr="004F56E9">
        <w:rPr>
          <w:lang w:val="en-US"/>
        </w:rPr>
        <w:t>According to Step 3 of the EDPB's "Recommendations 01/2020 on measures that supplement transfer tools to ensure compliance with the EU level of protection of personal data, version 2.0," the purpose of a country assessment is to determine whether there are laws and/or practices in the country to which personal data is being transferred that affect the effectiveness of the chosen transfer mechanism.</w:t>
      </w:r>
      <w:r w:rsidR="00684AD2">
        <w:rPr>
          <w:rStyle w:val="Fotnotereferanse"/>
          <w:lang w:val="en-US"/>
        </w:rPr>
        <w:footnoteReference w:id="16"/>
      </w:r>
      <w:r w:rsidRPr="004F56E9">
        <w:rPr>
          <w:lang w:val="en-US"/>
        </w:rPr>
        <w:t xml:space="preserve"> The analysis should focus on local laws and regulations that are relevant to the transfer and the legal basis for the transfer. In relation to the specific transfer, the following question must be answered:  </w:t>
      </w:r>
    </w:p>
    <w:p w14:paraId="629B817D" w14:textId="78B413FD" w:rsidR="00952CE2" w:rsidRPr="00CD2B0E" w:rsidRDefault="00952CE2" w:rsidP="00ED5184">
      <w:pPr>
        <w:pStyle w:val="Listeavsnitt"/>
        <w:numPr>
          <w:ilvl w:val="0"/>
          <w:numId w:val="18"/>
        </w:numPr>
        <w:rPr>
          <w:lang w:val="en-US"/>
        </w:rPr>
      </w:pPr>
      <w:r w:rsidRPr="00CD2B0E">
        <w:rPr>
          <w:lang w:val="en-US"/>
        </w:rPr>
        <w:t xml:space="preserve">Can the data importer guarantee an adequate level of protection for personal data transferred to the third country (Taiwan)?  </w:t>
      </w:r>
    </w:p>
    <w:p w14:paraId="02C3752D" w14:textId="77777777" w:rsidR="00952CE2" w:rsidRPr="004F56E9" w:rsidRDefault="00952CE2" w:rsidP="00952CE2">
      <w:pPr>
        <w:rPr>
          <w:lang w:val="en-US"/>
        </w:rPr>
      </w:pPr>
      <w:r w:rsidRPr="004F56E9">
        <w:rPr>
          <w:lang w:val="en-US"/>
        </w:rPr>
        <w:t xml:space="preserve">Whether a third country can be considered to provide an adequate level of protection depends on:  </w:t>
      </w:r>
    </w:p>
    <w:p w14:paraId="1F72EDE1" w14:textId="29D7BF17" w:rsidR="00952CE2" w:rsidRPr="00C1166F" w:rsidRDefault="00952CE2" w:rsidP="00ED5184">
      <w:pPr>
        <w:pStyle w:val="Listeavsnitt"/>
        <w:numPr>
          <w:ilvl w:val="0"/>
          <w:numId w:val="14"/>
        </w:numPr>
        <w:rPr>
          <w:lang w:val="en-US"/>
        </w:rPr>
      </w:pPr>
      <w:r w:rsidRPr="00C1166F">
        <w:rPr>
          <w:lang w:val="en-US"/>
        </w:rPr>
        <w:t xml:space="preserve">Whether local surveillance laws apply to the specific transfer, and if </w:t>
      </w:r>
      <w:proofErr w:type="gramStart"/>
      <w:r w:rsidRPr="00C1166F">
        <w:rPr>
          <w:lang w:val="en-US"/>
        </w:rPr>
        <w:t>so;</w:t>
      </w:r>
      <w:proofErr w:type="gramEnd"/>
      <w:r w:rsidRPr="00C1166F">
        <w:rPr>
          <w:lang w:val="en-US"/>
        </w:rPr>
        <w:t xml:space="preserve">  </w:t>
      </w:r>
    </w:p>
    <w:p w14:paraId="171CA2DD" w14:textId="087F6F9C" w:rsidR="00952CE2" w:rsidRPr="00C1166F" w:rsidRDefault="00952CE2" w:rsidP="00ED5184">
      <w:pPr>
        <w:pStyle w:val="Listeavsnitt"/>
        <w:numPr>
          <w:ilvl w:val="0"/>
          <w:numId w:val="14"/>
        </w:numPr>
        <w:rPr>
          <w:lang w:val="en-US"/>
        </w:rPr>
      </w:pPr>
      <w:r w:rsidRPr="00C1166F">
        <w:rPr>
          <w:lang w:val="en-US"/>
        </w:rPr>
        <w:t>Whether the so-called "fundamental European guarantees" are met for government access to personal data under the relevant laws.</w:t>
      </w:r>
      <w:r w:rsidR="001C41E1">
        <w:rPr>
          <w:rStyle w:val="Fotnotereferanse"/>
          <w:lang w:val="en-US"/>
        </w:rPr>
        <w:footnoteReference w:id="17"/>
      </w:r>
      <w:r w:rsidRPr="00C1166F">
        <w:rPr>
          <w:lang w:val="en-US"/>
        </w:rPr>
        <w:t xml:space="preserve">  </w:t>
      </w:r>
    </w:p>
    <w:p w14:paraId="40A0C5C3" w14:textId="77777777" w:rsidR="00952CE2" w:rsidRPr="004F56E9" w:rsidRDefault="00952CE2" w:rsidP="00952CE2">
      <w:pPr>
        <w:rPr>
          <w:lang w:val="en-US"/>
        </w:rPr>
      </w:pPr>
      <w:r w:rsidRPr="004F56E9">
        <w:rPr>
          <w:lang w:val="en-US"/>
        </w:rPr>
        <w:t xml:space="preserve">The fundamental European guarantees are based on the EU Charter as interpreted by the EU Court of Justice. These reflect, among other things, the fundamental right to privacy, which is also enshrined in Article 8 of the European Convention on Human Rights ("ECHR") and incorporated into the Constitution.  </w:t>
      </w:r>
    </w:p>
    <w:p w14:paraId="72CF9CA2" w14:textId="77777777" w:rsidR="00952CE2" w:rsidRPr="004F56E9" w:rsidRDefault="00952CE2" w:rsidP="00952CE2">
      <w:pPr>
        <w:rPr>
          <w:lang w:val="en-US"/>
        </w:rPr>
      </w:pPr>
      <w:r w:rsidRPr="004F56E9">
        <w:rPr>
          <w:lang w:val="en-US"/>
        </w:rPr>
        <w:t xml:space="preserve">According to the EDPB, the four categories of fundamental guarantees can be described as follows:  </w:t>
      </w:r>
    </w:p>
    <w:p w14:paraId="21B8E80B" w14:textId="2E1902BA" w:rsidR="00952CE2" w:rsidRPr="00C1166F" w:rsidRDefault="00952CE2" w:rsidP="00ED5184">
      <w:pPr>
        <w:pStyle w:val="Listeavsnitt"/>
        <w:numPr>
          <w:ilvl w:val="0"/>
          <w:numId w:val="12"/>
        </w:numPr>
        <w:rPr>
          <w:lang w:val="en-US"/>
        </w:rPr>
      </w:pPr>
      <w:r w:rsidRPr="001C41E1">
        <w:rPr>
          <w:b/>
          <w:bCs/>
          <w:lang w:val="en-US"/>
        </w:rPr>
        <w:t>Guarantee A</w:t>
      </w:r>
      <w:r w:rsidRPr="00C1166F">
        <w:rPr>
          <w:lang w:val="en-US"/>
        </w:rPr>
        <w:t xml:space="preserve">: The processing (access) must be based on clear and precise rules that are publicly available.  </w:t>
      </w:r>
    </w:p>
    <w:p w14:paraId="4DAAA4C5" w14:textId="746F677B" w:rsidR="00952CE2" w:rsidRPr="00C1166F" w:rsidRDefault="00952CE2" w:rsidP="00ED5184">
      <w:pPr>
        <w:pStyle w:val="Listeavsnitt"/>
        <w:numPr>
          <w:ilvl w:val="0"/>
          <w:numId w:val="12"/>
        </w:numPr>
        <w:rPr>
          <w:lang w:val="en-US"/>
        </w:rPr>
      </w:pPr>
      <w:r w:rsidRPr="001C41E1">
        <w:rPr>
          <w:b/>
          <w:bCs/>
          <w:lang w:val="en-US"/>
        </w:rPr>
        <w:lastRenderedPageBreak/>
        <w:t>Guarantee B</w:t>
      </w:r>
      <w:r w:rsidRPr="00C1166F">
        <w:rPr>
          <w:lang w:val="en-US"/>
        </w:rPr>
        <w:t xml:space="preserve">: The processing (access) must be necessary and proportionate to achieve a legitimate purpose.  </w:t>
      </w:r>
    </w:p>
    <w:p w14:paraId="267FEAF1" w14:textId="35CA5AEE" w:rsidR="00952CE2" w:rsidRPr="00C1166F" w:rsidRDefault="00952CE2" w:rsidP="00ED5184">
      <w:pPr>
        <w:pStyle w:val="Listeavsnitt"/>
        <w:numPr>
          <w:ilvl w:val="0"/>
          <w:numId w:val="12"/>
        </w:numPr>
        <w:rPr>
          <w:lang w:val="en-US"/>
        </w:rPr>
      </w:pPr>
      <w:r w:rsidRPr="001C41E1">
        <w:rPr>
          <w:b/>
          <w:bCs/>
          <w:lang w:val="en-US"/>
        </w:rPr>
        <w:t>Guarantee C</w:t>
      </w:r>
      <w:r w:rsidRPr="00C1166F">
        <w:rPr>
          <w:lang w:val="en-US"/>
        </w:rPr>
        <w:t xml:space="preserve">: There must be an independent oversight body that can review the use of access.  </w:t>
      </w:r>
    </w:p>
    <w:p w14:paraId="1464DD12" w14:textId="5739D2C9" w:rsidR="00952CE2" w:rsidRPr="00C1166F" w:rsidRDefault="00952CE2" w:rsidP="00ED5184">
      <w:pPr>
        <w:pStyle w:val="Listeavsnitt"/>
        <w:numPr>
          <w:ilvl w:val="0"/>
          <w:numId w:val="12"/>
        </w:numPr>
        <w:rPr>
          <w:lang w:val="en-US"/>
        </w:rPr>
      </w:pPr>
      <w:r w:rsidRPr="001C41E1">
        <w:rPr>
          <w:b/>
          <w:bCs/>
          <w:lang w:val="en-US"/>
        </w:rPr>
        <w:t>Guarantee D</w:t>
      </w:r>
      <w:r w:rsidRPr="00C1166F">
        <w:rPr>
          <w:lang w:val="en-US"/>
        </w:rPr>
        <w:t xml:space="preserve">: The data subjects must have access to effective remedies if their rights are violated </w:t>
      </w:r>
      <w:proofErr w:type="gramStart"/>
      <w:r w:rsidRPr="00C1166F">
        <w:rPr>
          <w:lang w:val="en-US"/>
        </w:rPr>
        <w:t>as a result of</w:t>
      </w:r>
      <w:proofErr w:type="gramEnd"/>
      <w:r w:rsidRPr="00C1166F">
        <w:rPr>
          <w:lang w:val="en-US"/>
        </w:rPr>
        <w:t xml:space="preserve"> government access.  </w:t>
      </w:r>
    </w:p>
    <w:p w14:paraId="7C81B3E2" w14:textId="297FB918" w:rsidR="00952CE2" w:rsidRPr="004F56E9" w:rsidRDefault="00952CE2" w:rsidP="00952CE2">
      <w:pPr>
        <w:rPr>
          <w:lang w:val="en-US"/>
        </w:rPr>
      </w:pPr>
      <w:r w:rsidRPr="004F56E9">
        <w:rPr>
          <w:lang w:val="en-US"/>
        </w:rPr>
        <w:t>If all four categories of guarantees are in place, personal data is adequately protected during a transfer. If at least one of the guarantees is missing, additional measures must be implemented to provide an adequate level of protection for the personal data.</w:t>
      </w:r>
      <w:r w:rsidR="001C41E1">
        <w:rPr>
          <w:rStyle w:val="Fotnotereferanse"/>
          <w:lang w:val="en-US"/>
        </w:rPr>
        <w:footnoteReference w:id="18"/>
      </w:r>
      <w:r w:rsidRPr="004F56E9">
        <w:rPr>
          <w:lang w:val="en-US"/>
        </w:rPr>
        <w:t xml:space="preserve">  </w:t>
      </w:r>
    </w:p>
    <w:p w14:paraId="16DED5B9" w14:textId="77777777" w:rsidR="00952CE2" w:rsidRPr="004F56E9" w:rsidRDefault="00952CE2" w:rsidP="00952CE2">
      <w:pPr>
        <w:rPr>
          <w:lang w:val="en-US"/>
        </w:rPr>
      </w:pPr>
      <w:r w:rsidRPr="004F56E9">
        <w:rPr>
          <w:lang w:val="en-US"/>
        </w:rPr>
        <w:t xml:space="preserve">The country assessment also includes a review of how the regulations are implemented and enforced in practice. Practices will be used in this country assessment for two different purposes, depending on whether the fundamental guarantees are deemed to be met. If the laws being assessed do not meet the fundamental guarantees, the description of practices will be used as a factual basis for identifying appropriate compensatory security measures. If the laws being assessed meet the fundamental guarantees, the description of practices will be used to verify that the laws are </w:t>
      </w:r>
      <w:proofErr w:type="gramStart"/>
      <w:r w:rsidRPr="004F56E9">
        <w:rPr>
          <w:lang w:val="en-US"/>
        </w:rPr>
        <w:t>actually enforced</w:t>
      </w:r>
      <w:proofErr w:type="gramEnd"/>
      <w:r w:rsidRPr="004F56E9">
        <w:rPr>
          <w:lang w:val="en-US"/>
        </w:rPr>
        <w:t xml:space="preserve"> as stated.</w:t>
      </w:r>
    </w:p>
    <w:p w14:paraId="7DB9CDFB" w14:textId="77777777" w:rsidR="00952CE2" w:rsidRDefault="00952CE2" w:rsidP="00952CE2">
      <w:pPr>
        <w:rPr>
          <w:lang w:val="en-US"/>
        </w:rPr>
      </w:pPr>
    </w:p>
    <w:p w14:paraId="3BF2F892" w14:textId="13E0436D" w:rsidR="00952CE2" w:rsidRPr="004F56E9" w:rsidRDefault="00952CE2" w:rsidP="00C1166F">
      <w:pPr>
        <w:pStyle w:val="Overskrift2"/>
        <w:rPr>
          <w:lang w:val="en-US"/>
        </w:rPr>
      </w:pPr>
      <w:bookmarkStart w:id="12" w:name="_Toc176427842"/>
      <w:r w:rsidRPr="004F56E9">
        <w:rPr>
          <w:lang w:val="en-US"/>
        </w:rPr>
        <w:t>4.2. Regulations Applicable to the Transfer to Taiwan</w:t>
      </w:r>
      <w:bookmarkEnd w:id="12"/>
    </w:p>
    <w:p w14:paraId="198F900D" w14:textId="71BD0BD1" w:rsidR="00952CE2" w:rsidRPr="004F56E9" w:rsidRDefault="00952CE2" w:rsidP="00C1166F">
      <w:pPr>
        <w:pStyle w:val="Overskrift3"/>
        <w:rPr>
          <w:lang w:val="en-US"/>
        </w:rPr>
      </w:pPr>
      <w:r w:rsidRPr="004F56E9">
        <w:rPr>
          <w:lang w:val="en-US"/>
        </w:rPr>
        <w:t>4.2.1. Communications and Surveillance Act (CSSA)</w:t>
      </w:r>
    </w:p>
    <w:p w14:paraId="1C324745" w14:textId="77777777" w:rsidR="00952CE2" w:rsidRPr="004F56E9" w:rsidRDefault="00952CE2" w:rsidP="00952CE2">
      <w:pPr>
        <w:rPr>
          <w:lang w:val="en-US"/>
        </w:rPr>
      </w:pPr>
      <w:r w:rsidRPr="004F56E9">
        <w:rPr>
          <w:lang w:val="en-US"/>
        </w:rPr>
        <w:t xml:space="preserve">It is undisputed that personal data stored on Norwegian users at a data center in Taiwan is covered by the concept of communications as defined in Article 3, 3-1 of the CSSA. It is also clear that Norwegian users of GWE are covered by the term "Foreign Forces" in Article 8.  </w:t>
      </w:r>
    </w:p>
    <w:p w14:paraId="4FE4DEFC" w14:textId="77777777" w:rsidR="00952CE2" w:rsidRPr="004F56E9" w:rsidRDefault="00952CE2" w:rsidP="00952CE2">
      <w:pPr>
        <w:rPr>
          <w:lang w:val="en-US"/>
        </w:rPr>
      </w:pPr>
      <w:r w:rsidRPr="004F56E9">
        <w:rPr>
          <w:lang w:val="en-US"/>
        </w:rPr>
        <w:t>The project assumes that the CSSA may apply to data on Norwegian users of GWE stored in Taiwan.</w:t>
      </w:r>
    </w:p>
    <w:p w14:paraId="1A4B36E0" w14:textId="77777777" w:rsidR="00952CE2" w:rsidRPr="004F56E9" w:rsidRDefault="00952CE2" w:rsidP="00952CE2">
      <w:pPr>
        <w:rPr>
          <w:lang w:val="en-US"/>
        </w:rPr>
      </w:pPr>
    </w:p>
    <w:p w14:paraId="5284F43C" w14:textId="7C7B35C7" w:rsidR="00952CE2" w:rsidRPr="004F56E9" w:rsidRDefault="00952CE2" w:rsidP="00C1166F">
      <w:pPr>
        <w:pStyle w:val="Overskrift3"/>
        <w:rPr>
          <w:lang w:val="en-US"/>
        </w:rPr>
      </w:pPr>
      <w:r w:rsidRPr="004F56E9">
        <w:rPr>
          <w:lang w:val="en-US"/>
        </w:rPr>
        <w:t>4.2.2. Telecommunications Act (TA) and Telecommunications Management Act (TMA)</w:t>
      </w:r>
    </w:p>
    <w:p w14:paraId="2E1B92AC" w14:textId="77777777" w:rsidR="00952CE2" w:rsidRPr="004F56E9" w:rsidRDefault="00952CE2" w:rsidP="00952CE2">
      <w:pPr>
        <w:rPr>
          <w:lang w:val="en-US"/>
        </w:rPr>
      </w:pPr>
      <w:r w:rsidRPr="004F56E9">
        <w:rPr>
          <w:lang w:val="en-US"/>
        </w:rPr>
        <w:t xml:space="preserve">The TMA and TA contain provisions aimed at ensuring the state's ability to access communications and other data for various state investigations and/or surveillance processes. In practice, this involves mandatory assistance and the provision of systems and infrastructure so that communications and data can be shared. In the following, the TMA and TA will be assessed equally.  </w:t>
      </w:r>
    </w:p>
    <w:p w14:paraId="72D6A8E6" w14:textId="77777777" w:rsidR="00952CE2" w:rsidRPr="004F56E9" w:rsidRDefault="00952CE2" w:rsidP="00952CE2">
      <w:pPr>
        <w:rPr>
          <w:lang w:val="en-US"/>
        </w:rPr>
      </w:pPr>
      <w:r w:rsidRPr="004F56E9">
        <w:rPr>
          <w:lang w:val="en-US"/>
        </w:rPr>
        <w:t xml:space="preserve">In this context, "telecommunication enterprises" or telecommunications operators are the obligated parties under the TMA and TA. The term telecommunications operator includes entities registered in accordance with the "Act to provide telecommunications services" and providing "telecommunications services."  </w:t>
      </w:r>
    </w:p>
    <w:p w14:paraId="5131533D" w14:textId="482766B1" w:rsidR="00952CE2" w:rsidRPr="004F56E9" w:rsidRDefault="00952CE2" w:rsidP="00952CE2">
      <w:pPr>
        <w:rPr>
          <w:lang w:val="en-US"/>
        </w:rPr>
      </w:pPr>
      <w:r w:rsidRPr="004F56E9">
        <w:rPr>
          <w:lang w:val="en-US"/>
        </w:rPr>
        <w:t xml:space="preserve">Telecommunications services are further limited to telecommunications transmitted via the "PSTN" (Public Switched Telephone Network) - translated to the public switched telephone network (mobile and fixed telephone networks). PSTN constitutes the physical telecommunications infrastructure. The project sees PSTN as a fixed-line-based traditional telephony service, not a cloud storage service. The project believes that the specific service configuration of Google Workspace for Education in Norwegian schools does not qualify as PSTN in Taiwan.  </w:t>
      </w:r>
    </w:p>
    <w:p w14:paraId="6C532F7D" w14:textId="77777777" w:rsidR="00952CE2" w:rsidRPr="004F56E9" w:rsidRDefault="00952CE2" w:rsidP="00952CE2">
      <w:pPr>
        <w:rPr>
          <w:lang w:val="en-US"/>
        </w:rPr>
      </w:pPr>
      <w:r w:rsidRPr="004F56E9">
        <w:rPr>
          <w:lang w:val="en-US"/>
        </w:rPr>
        <w:lastRenderedPageBreak/>
        <w:t xml:space="preserve">Therefore, the use of Google Workspace for Education with cloud storage in Taiwan will fall outside the scope of the law. Local expertise in Taiwan at the law firm Nishimura &amp; Asahi Taiwan supports this interpretation, see appendix.  </w:t>
      </w:r>
    </w:p>
    <w:p w14:paraId="4E51B091" w14:textId="77777777" w:rsidR="00952CE2" w:rsidRPr="004F56E9" w:rsidRDefault="00952CE2" w:rsidP="00952CE2">
      <w:pPr>
        <w:rPr>
          <w:lang w:val="en-US"/>
        </w:rPr>
      </w:pPr>
      <w:r w:rsidRPr="004F56E9">
        <w:rPr>
          <w:lang w:val="en-US"/>
        </w:rPr>
        <w:t>The project concludes that the TMA and TA will not apply to personal data on Norwegian users of GWE stored in Taiwan.</w:t>
      </w:r>
    </w:p>
    <w:p w14:paraId="2EEF82B8" w14:textId="77777777" w:rsidR="00952CE2" w:rsidRPr="004F56E9" w:rsidRDefault="00952CE2" w:rsidP="00952CE2">
      <w:pPr>
        <w:rPr>
          <w:lang w:val="en-US"/>
        </w:rPr>
      </w:pPr>
    </w:p>
    <w:p w14:paraId="7A066D4F" w14:textId="1D875835" w:rsidR="00952CE2" w:rsidRPr="004F56E9" w:rsidRDefault="00952CE2" w:rsidP="00C1166F">
      <w:pPr>
        <w:pStyle w:val="Overskrift2"/>
        <w:rPr>
          <w:lang w:val="en-US"/>
        </w:rPr>
      </w:pPr>
      <w:bookmarkStart w:id="13" w:name="_Toc176427843"/>
      <w:r w:rsidRPr="004F56E9">
        <w:rPr>
          <w:lang w:val="en-US"/>
        </w:rPr>
        <w:t>4.3. Evaluation of the Applicable Laws for the Transfer</w:t>
      </w:r>
      <w:bookmarkEnd w:id="13"/>
    </w:p>
    <w:p w14:paraId="028C4D88" w14:textId="1DCB0004" w:rsidR="00952CE2" w:rsidRPr="004F56E9" w:rsidRDefault="00952CE2" w:rsidP="00C1166F">
      <w:pPr>
        <w:pStyle w:val="Overskrift3"/>
        <w:rPr>
          <w:lang w:val="en-US"/>
        </w:rPr>
      </w:pPr>
      <w:r w:rsidRPr="004F56E9">
        <w:rPr>
          <w:lang w:val="en-US"/>
        </w:rPr>
        <w:t>4.3.1. Communications and Surveillance Act (CSSA)</w:t>
      </w:r>
    </w:p>
    <w:p w14:paraId="6848FBF8" w14:textId="2CD1CA41" w:rsidR="00952CE2" w:rsidRPr="004F56E9" w:rsidRDefault="00952CE2" w:rsidP="00C1166F">
      <w:pPr>
        <w:pStyle w:val="Overskrift4"/>
        <w:rPr>
          <w:lang w:val="en-US"/>
        </w:rPr>
      </w:pPr>
      <w:r w:rsidRPr="004F56E9">
        <w:rPr>
          <w:lang w:val="en-US"/>
        </w:rPr>
        <w:t>4.3.1.1. Guarantee A: Clear and Precise Rules Publicly Available</w:t>
      </w:r>
    </w:p>
    <w:p w14:paraId="75E48D62" w14:textId="5FF30E31" w:rsidR="00952CE2" w:rsidRPr="004F56E9" w:rsidRDefault="00952CE2" w:rsidP="00952CE2">
      <w:pPr>
        <w:rPr>
          <w:lang w:val="en-US"/>
        </w:rPr>
      </w:pPr>
      <w:r w:rsidRPr="004F56E9">
        <w:rPr>
          <w:lang w:val="en-US"/>
        </w:rPr>
        <w:t>The European Data Protection Board (EDPB) summarizes several key points when assessing the presence of the four guarantees. The guidance is based, among other things, on case law from the Court of Justice of the European Union (CJEU) and the European Court of Human Rights (ECtHR).</w:t>
      </w:r>
      <w:r w:rsidR="00FD5A4C">
        <w:rPr>
          <w:rStyle w:val="Fotnotereferanse"/>
          <w:lang w:val="en-US"/>
        </w:rPr>
        <w:footnoteReference w:id="19"/>
      </w:r>
      <w:r w:rsidRPr="004F56E9">
        <w:rPr>
          <w:lang w:val="en-US"/>
        </w:rPr>
        <w:t xml:space="preserve">  </w:t>
      </w:r>
    </w:p>
    <w:p w14:paraId="5C10D82B" w14:textId="77777777" w:rsidR="00952CE2" w:rsidRPr="004F56E9" w:rsidRDefault="00952CE2" w:rsidP="00FD5A4C">
      <w:pPr>
        <w:keepNext/>
        <w:rPr>
          <w:lang w:val="en-US"/>
        </w:rPr>
      </w:pPr>
      <w:r w:rsidRPr="004F56E9">
        <w:rPr>
          <w:lang w:val="en-US"/>
        </w:rPr>
        <w:t xml:space="preserve">In assessing Guarantee A, the following questions and assessment criteria are relevant:  </w:t>
      </w:r>
    </w:p>
    <w:p w14:paraId="0D41D54C" w14:textId="55DCA4AE" w:rsidR="00952CE2" w:rsidRPr="00C1166F" w:rsidRDefault="00952CE2" w:rsidP="00ED5184">
      <w:pPr>
        <w:pStyle w:val="Listeavsnitt"/>
        <w:keepNext/>
        <w:numPr>
          <w:ilvl w:val="0"/>
          <w:numId w:val="15"/>
        </w:numPr>
        <w:rPr>
          <w:lang w:val="en-US"/>
        </w:rPr>
      </w:pPr>
      <w:r w:rsidRPr="00C1166F">
        <w:rPr>
          <w:lang w:val="en-US"/>
        </w:rPr>
        <w:t>Are the legal grounds for surveillance sufficiently clear and precise regarding the scope and extent of the measures?</w:t>
      </w:r>
      <w:r w:rsidR="00FD5A4C">
        <w:rPr>
          <w:rStyle w:val="Fotnotereferanse"/>
          <w:lang w:val="en-US"/>
        </w:rPr>
        <w:footnoteReference w:id="20"/>
      </w:r>
      <w:r w:rsidRPr="00C1166F">
        <w:rPr>
          <w:lang w:val="en-US"/>
        </w:rPr>
        <w:t xml:space="preserve">  </w:t>
      </w:r>
    </w:p>
    <w:p w14:paraId="31A078C3" w14:textId="402A1914" w:rsidR="00952CE2" w:rsidRPr="00C1166F" w:rsidRDefault="00952CE2" w:rsidP="00ED5184">
      <w:pPr>
        <w:pStyle w:val="Listeavsnitt"/>
        <w:numPr>
          <w:ilvl w:val="0"/>
          <w:numId w:val="15"/>
        </w:numPr>
        <w:rPr>
          <w:lang w:val="en-US"/>
        </w:rPr>
      </w:pPr>
      <w:r w:rsidRPr="00C1166F">
        <w:rPr>
          <w:lang w:val="en-US"/>
        </w:rPr>
        <w:t>Is it sufficiently clear when surveillance can take place, including which situations and circumstances may legally trigger surveillance?</w:t>
      </w:r>
      <w:r w:rsidR="006D332B">
        <w:rPr>
          <w:rStyle w:val="Fotnotereferanse"/>
          <w:lang w:val="en-US"/>
        </w:rPr>
        <w:footnoteReference w:id="21"/>
      </w:r>
      <w:r w:rsidRPr="00C1166F">
        <w:rPr>
          <w:lang w:val="en-US"/>
        </w:rPr>
        <w:t xml:space="preserve">  </w:t>
      </w:r>
    </w:p>
    <w:p w14:paraId="7445947F" w14:textId="0D468569" w:rsidR="00952CE2" w:rsidRPr="00C1166F" w:rsidRDefault="00952CE2" w:rsidP="00ED5184">
      <w:pPr>
        <w:pStyle w:val="Listeavsnitt"/>
        <w:numPr>
          <w:ilvl w:val="0"/>
          <w:numId w:val="15"/>
        </w:numPr>
        <w:rPr>
          <w:lang w:val="en-US"/>
        </w:rPr>
      </w:pPr>
      <w:r w:rsidRPr="00C1166F">
        <w:rPr>
          <w:lang w:val="en-US"/>
        </w:rPr>
        <w:t>Are limitations on the ability of data subjects to assert their rights included and visible in the relevant legislation?</w:t>
      </w:r>
      <w:r w:rsidR="006D332B">
        <w:rPr>
          <w:rStyle w:val="Fotnotereferanse"/>
          <w:lang w:val="en-US"/>
        </w:rPr>
        <w:footnoteReference w:id="22"/>
      </w:r>
      <w:r w:rsidRPr="00C1166F">
        <w:rPr>
          <w:lang w:val="en-US"/>
        </w:rPr>
        <w:t xml:space="preserve">  </w:t>
      </w:r>
    </w:p>
    <w:p w14:paraId="2C5ECD2A" w14:textId="61BA653A" w:rsidR="00952CE2" w:rsidRPr="00C1166F" w:rsidRDefault="00952CE2" w:rsidP="00ED5184">
      <w:pPr>
        <w:pStyle w:val="Listeavsnitt"/>
        <w:numPr>
          <w:ilvl w:val="0"/>
          <w:numId w:val="15"/>
        </w:numPr>
        <w:rPr>
          <w:lang w:val="en-US"/>
        </w:rPr>
      </w:pPr>
      <w:r w:rsidRPr="00C1166F">
        <w:rPr>
          <w:lang w:val="en-US"/>
        </w:rPr>
        <w:t>The requirements for precision and availability under point 1 must be assessed and applied equally across various government surveillance programs. Legal grounds for bulk data collection are therefore subject to the same clarity and precision requirements as legal grounds for targeted surveillance.</w:t>
      </w:r>
      <w:r w:rsidR="000E1CFE">
        <w:rPr>
          <w:rStyle w:val="Fotnotereferanse"/>
          <w:lang w:val="en-US"/>
        </w:rPr>
        <w:footnoteReference w:id="23"/>
      </w:r>
      <w:r w:rsidRPr="00C1166F">
        <w:rPr>
          <w:lang w:val="en-US"/>
        </w:rPr>
        <w:t xml:space="preserve">  </w:t>
      </w:r>
    </w:p>
    <w:p w14:paraId="4BF19601" w14:textId="55CD0C50" w:rsidR="00952CE2" w:rsidRPr="00C1166F" w:rsidRDefault="00952CE2" w:rsidP="00ED5184">
      <w:pPr>
        <w:pStyle w:val="Listeavsnitt"/>
        <w:numPr>
          <w:ilvl w:val="0"/>
          <w:numId w:val="15"/>
        </w:numPr>
        <w:rPr>
          <w:lang w:val="en-US"/>
        </w:rPr>
      </w:pPr>
      <w:r w:rsidRPr="00C1166F">
        <w:rPr>
          <w:lang w:val="en-US"/>
        </w:rPr>
        <w:t>Are the individuals being surveilled able to foresee the consequences of an intervention under the relevant surveillance legislation? The requirement for foreseeable rules must reasonably be balanced against the need for secrecy and national security considerations.</w:t>
      </w:r>
      <w:r w:rsidR="000E1CFE">
        <w:rPr>
          <w:rStyle w:val="Fotnotereferanse"/>
          <w:lang w:val="en-US"/>
        </w:rPr>
        <w:footnoteReference w:id="24"/>
      </w:r>
      <w:r w:rsidRPr="00C1166F">
        <w:rPr>
          <w:lang w:val="en-US"/>
        </w:rPr>
        <w:t xml:space="preserve">  </w:t>
      </w:r>
    </w:p>
    <w:p w14:paraId="0E1484B9" w14:textId="77777777" w:rsidR="00952CE2" w:rsidRPr="004F56E9" w:rsidRDefault="00952CE2" w:rsidP="00952CE2">
      <w:pPr>
        <w:rPr>
          <w:lang w:val="en-US"/>
        </w:rPr>
      </w:pPr>
      <w:r w:rsidRPr="004F56E9">
        <w:rPr>
          <w:lang w:val="en-US"/>
        </w:rPr>
        <w:t xml:space="preserve">The Communications and Surveillance Act aims to ensure free private communication, prevent unlawful intrusion, and protect national security and social order (project's translation, cf. Article 1). The law authorizes governmental surveillance of communications deemed relevant to police or other governmental investigations.  </w:t>
      </w:r>
    </w:p>
    <w:p w14:paraId="44347750" w14:textId="77777777" w:rsidR="00952CE2" w:rsidRPr="004F56E9" w:rsidRDefault="00952CE2" w:rsidP="00952CE2">
      <w:pPr>
        <w:rPr>
          <w:lang w:val="en-US"/>
        </w:rPr>
      </w:pPr>
      <w:r w:rsidRPr="004F56E9">
        <w:rPr>
          <w:lang w:val="en-US"/>
        </w:rPr>
        <w:t xml:space="preserve">Regarding the scope and extent of the measures, Article 3 and Article 13 define the methods and scope of surveillance (see section 3.2.3 for details). Article 3-1 describes the extent of surveillance. </w:t>
      </w:r>
      <w:r w:rsidRPr="004F56E9">
        <w:rPr>
          <w:lang w:val="en-US"/>
        </w:rPr>
        <w:lastRenderedPageBreak/>
        <w:t xml:space="preserve">Article 5 of the CSSA outlines the conditions under which a surveillance order may be issued. It refers to criminal provisions that are otherwise available.  </w:t>
      </w:r>
    </w:p>
    <w:p w14:paraId="2BD20431" w14:textId="77777777" w:rsidR="00952CE2" w:rsidRPr="004F56E9" w:rsidRDefault="00952CE2" w:rsidP="00952CE2">
      <w:pPr>
        <w:rPr>
          <w:lang w:val="en-US"/>
        </w:rPr>
      </w:pPr>
      <w:r w:rsidRPr="004F56E9">
        <w:rPr>
          <w:lang w:val="en-US"/>
        </w:rPr>
        <w:t>Article 12 specifies the duration of surveillance initiated under Article 5 (surveillance based on criminal prosecution), Article 6 (surveillance based on election interference and threats to democracy), and Article 7 (surveillance based on foreign intelligence and espionage). The limitations on the rights of the data subjects are described throughout the CSSA.</w:t>
      </w:r>
    </w:p>
    <w:p w14:paraId="32F79442" w14:textId="77777777" w:rsidR="00952CE2" w:rsidRPr="004F56E9" w:rsidRDefault="00952CE2" w:rsidP="00952CE2">
      <w:pPr>
        <w:rPr>
          <w:lang w:val="en-US"/>
        </w:rPr>
      </w:pPr>
    </w:p>
    <w:p w14:paraId="5EFF7441" w14:textId="0748E6A6" w:rsidR="00952CE2" w:rsidRPr="004F56E9" w:rsidRDefault="00952CE2" w:rsidP="00C1166F">
      <w:pPr>
        <w:pStyle w:val="Overskrift4"/>
        <w:rPr>
          <w:lang w:val="en-US"/>
        </w:rPr>
      </w:pPr>
      <w:r w:rsidRPr="004F56E9">
        <w:rPr>
          <w:lang w:val="en-US"/>
        </w:rPr>
        <w:t>4.3.1.2. Guarantee B: Necessary and Proportionate for Achieving a Legitimate Purpose</w:t>
      </w:r>
    </w:p>
    <w:p w14:paraId="076EE8C4" w14:textId="77777777" w:rsidR="00952CE2" w:rsidRPr="004F56E9" w:rsidRDefault="00952CE2" w:rsidP="00952CE2">
      <w:pPr>
        <w:rPr>
          <w:lang w:val="en-US"/>
        </w:rPr>
      </w:pPr>
      <w:r w:rsidRPr="004F56E9">
        <w:rPr>
          <w:lang w:val="en-US"/>
        </w:rPr>
        <w:t>Article 2 requires that any surveillance must be necessary, proportionate, and purposeful. However, it is unclear how this specifically limits the government's discretionary powers. Similar formulations of necessity, proportionality, and purposefulness are also included in other parts of the law where these requirements are naturally emphasized.</w:t>
      </w:r>
    </w:p>
    <w:p w14:paraId="44E457FB" w14:textId="77777777" w:rsidR="00952CE2" w:rsidRPr="004F56E9" w:rsidRDefault="00952CE2" w:rsidP="00952CE2">
      <w:pPr>
        <w:rPr>
          <w:lang w:val="en-US"/>
        </w:rPr>
      </w:pPr>
    </w:p>
    <w:p w14:paraId="07101B8B" w14:textId="12C52947" w:rsidR="00952CE2" w:rsidRPr="004F56E9" w:rsidRDefault="00952CE2" w:rsidP="00C1166F">
      <w:pPr>
        <w:pStyle w:val="Overskrift4"/>
        <w:rPr>
          <w:lang w:val="en-US"/>
        </w:rPr>
      </w:pPr>
      <w:r w:rsidRPr="004F56E9">
        <w:rPr>
          <w:lang w:val="en-US"/>
        </w:rPr>
        <w:t>4.3.1.3. Guarantee C: Independent Oversight and Review (Judicial Oversight)</w:t>
      </w:r>
    </w:p>
    <w:p w14:paraId="0429A9B4" w14:textId="77777777" w:rsidR="00952CE2" w:rsidRPr="004F56E9" w:rsidRDefault="00952CE2" w:rsidP="00952CE2">
      <w:pPr>
        <w:rPr>
          <w:lang w:val="en-US"/>
        </w:rPr>
      </w:pPr>
      <w:r w:rsidRPr="004F56E9">
        <w:rPr>
          <w:lang w:val="en-US"/>
        </w:rPr>
        <w:t xml:space="preserve">There is no dedicated independent oversight body for the enforcement of the CSSA.  </w:t>
      </w:r>
    </w:p>
    <w:p w14:paraId="4D600F78" w14:textId="77777777" w:rsidR="00952CE2" w:rsidRPr="004F56E9" w:rsidRDefault="00952CE2" w:rsidP="00952CE2">
      <w:pPr>
        <w:rPr>
          <w:lang w:val="en-US"/>
        </w:rPr>
      </w:pPr>
      <w:r w:rsidRPr="004F56E9">
        <w:rPr>
          <w:lang w:val="en-US"/>
        </w:rPr>
        <w:t xml:space="preserve">An "enforcement authority" must submit at least one report every 15 days </w:t>
      </w:r>
      <w:proofErr w:type="gramStart"/>
      <w:r w:rsidRPr="004F56E9">
        <w:rPr>
          <w:lang w:val="en-US"/>
        </w:rPr>
        <w:t>during the course of</w:t>
      </w:r>
      <w:proofErr w:type="gramEnd"/>
      <w:r w:rsidRPr="004F56E9">
        <w:rPr>
          <w:lang w:val="en-US"/>
        </w:rPr>
        <w:t xml:space="preserve"> communication surveillance to the prosecutor or judge who issued the surveillance order. The report must include the status of progress as well as an explanation of whether the surveillance should be continued.  </w:t>
      </w:r>
    </w:p>
    <w:p w14:paraId="793E4775" w14:textId="77777777" w:rsidR="00952CE2" w:rsidRPr="004F56E9" w:rsidRDefault="00952CE2" w:rsidP="00952CE2">
      <w:pPr>
        <w:rPr>
          <w:lang w:val="en-US"/>
        </w:rPr>
      </w:pPr>
      <w:r w:rsidRPr="004F56E9">
        <w:rPr>
          <w:lang w:val="en-US"/>
        </w:rPr>
        <w:t xml:space="preserve">Under Article 16-1, the "enforcement authority" and the "supervisory authority" must prepare an annual report with relevant statistics on the previous year's surveillance activity.  </w:t>
      </w:r>
    </w:p>
    <w:p w14:paraId="65483DAD" w14:textId="5F5A860D" w:rsidR="00952CE2" w:rsidRPr="004F56E9" w:rsidRDefault="00952CE2" w:rsidP="00952CE2">
      <w:pPr>
        <w:rPr>
          <w:lang w:val="en-US"/>
        </w:rPr>
      </w:pPr>
      <w:r w:rsidRPr="004F56E9">
        <w:rPr>
          <w:lang w:val="en-US"/>
        </w:rPr>
        <w:t>Article 32-1 further states that "The Ministry of Justice" must conduct annual audits of "the status of the enforcement of communications surveillance." The findings must be reported to the "Legislative Yuan," a judicial committee organized under the Taiwanese congress elected through democratic processes.</w:t>
      </w:r>
      <w:r w:rsidR="0089706A">
        <w:rPr>
          <w:rStyle w:val="Fotnotereferanse"/>
          <w:lang w:val="en-US"/>
        </w:rPr>
        <w:footnoteReference w:id="25"/>
      </w:r>
      <w:r w:rsidRPr="004F56E9">
        <w:rPr>
          <w:lang w:val="en-US"/>
        </w:rPr>
        <w:t xml:space="preserve">  </w:t>
      </w:r>
    </w:p>
    <w:p w14:paraId="1F72FE86" w14:textId="35FE5A1C" w:rsidR="00952CE2" w:rsidRPr="004F56E9" w:rsidRDefault="00952CE2" w:rsidP="00952CE2">
      <w:pPr>
        <w:rPr>
          <w:lang w:val="en-US"/>
        </w:rPr>
      </w:pPr>
      <w:r w:rsidRPr="004F56E9">
        <w:rPr>
          <w:lang w:val="en-US"/>
        </w:rPr>
        <w:t>The CSSA does not describe an independent supervisory and oversight body. It is also important to note that, as mentioned in section 3.1.5, there is currently no dedicated, independent, and supervisory authority comparable to European data protection authorities under the PDPA. However, later amendments to the PDPA have formalized the establishment of such an authority. This authority will be called the Personal Data Protection Commission (PDPC) but is not yet operational.</w:t>
      </w:r>
      <w:r w:rsidR="008D6EB0">
        <w:rPr>
          <w:rStyle w:val="Fotnotereferanse"/>
          <w:lang w:val="en-US"/>
        </w:rPr>
        <w:footnoteReference w:id="26"/>
      </w:r>
      <w:r w:rsidRPr="004F56E9">
        <w:rPr>
          <w:lang w:val="en-US"/>
        </w:rPr>
        <w:t xml:space="preserve"> According to local expertise, a "preparatory office" for the PDPC was established on 5 December 2023, and the PDPC is expected to be operational by August 2025.  </w:t>
      </w:r>
    </w:p>
    <w:p w14:paraId="199B2B01" w14:textId="77777777" w:rsidR="00952CE2" w:rsidRPr="004F56E9" w:rsidRDefault="00952CE2" w:rsidP="00952CE2">
      <w:pPr>
        <w:rPr>
          <w:lang w:val="en-US"/>
        </w:rPr>
      </w:pPr>
      <w:r w:rsidRPr="004F56E9">
        <w:rPr>
          <w:lang w:val="en-US"/>
        </w:rPr>
        <w:t>The National Development Council (NDC) is responsible for enforcing and issuing decisions on matters within the scope of the PDPA, as well as interpreting both the PDPA and the internal procedures that public bodies are required to establish under the PDPA.</w:t>
      </w:r>
    </w:p>
    <w:p w14:paraId="70CD9469" w14:textId="77777777" w:rsidR="00952CE2" w:rsidRPr="004F56E9" w:rsidRDefault="00952CE2" w:rsidP="00952CE2">
      <w:pPr>
        <w:rPr>
          <w:lang w:val="en-US"/>
        </w:rPr>
      </w:pPr>
    </w:p>
    <w:p w14:paraId="19C37230" w14:textId="30CD3A66" w:rsidR="00952CE2" w:rsidRPr="004F56E9" w:rsidRDefault="00952CE2" w:rsidP="00C1166F">
      <w:pPr>
        <w:pStyle w:val="Overskrift4"/>
        <w:rPr>
          <w:lang w:val="en-US"/>
        </w:rPr>
      </w:pPr>
      <w:r w:rsidRPr="004F56E9">
        <w:rPr>
          <w:lang w:val="en-US"/>
        </w:rPr>
        <w:lastRenderedPageBreak/>
        <w:t>4.3.1.4. Guarantee D: Effective Remedies</w:t>
      </w:r>
    </w:p>
    <w:p w14:paraId="7B869A28" w14:textId="77777777" w:rsidR="00952CE2" w:rsidRPr="004F56E9" w:rsidRDefault="00952CE2" w:rsidP="00952CE2">
      <w:pPr>
        <w:rPr>
          <w:lang w:val="en-US"/>
        </w:rPr>
      </w:pPr>
      <w:r w:rsidRPr="004F56E9">
        <w:rPr>
          <w:lang w:val="en-US"/>
        </w:rPr>
        <w:t xml:space="preserve">The presence of effective remedies presupposes, among other things, that data subjects </w:t>
      </w:r>
      <w:proofErr w:type="gramStart"/>
      <w:r w:rsidRPr="004F56E9">
        <w:rPr>
          <w:lang w:val="en-US"/>
        </w:rPr>
        <w:t>are able to</w:t>
      </w:r>
      <w:proofErr w:type="gramEnd"/>
      <w:r w:rsidRPr="004F56E9">
        <w:rPr>
          <w:lang w:val="en-US"/>
        </w:rPr>
        <w:t xml:space="preserve"> assert their rights. Whether, and to what extent, data subjects are notified of initiated or completed surveillance is therefore of great importance, according to the EDPB.  </w:t>
      </w:r>
    </w:p>
    <w:p w14:paraId="75D4E2F2" w14:textId="77777777" w:rsidR="00952CE2" w:rsidRPr="004F56E9" w:rsidRDefault="00952CE2" w:rsidP="00952CE2">
      <w:pPr>
        <w:rPr>
          <w:lang w:val="en-US"/>
        </w:rPr>
      </w:pPr>
      <w:r w:rsidRPr="004F56E9">
        <w:rPr>
          <w:lang w:val="en-US"/>
        </w:rPr>
        <w:t xml:space="preserve">Article 15 of the CSSA outlines the government's responsibility to notify individuals being surveilled. It specifies, among other things, that unless notification of the completed surveillance conflicts with the original surveillance purpose, "The court" must inform the individual(s) being surveilled within 14 days after the surveillance is completed. Article 15 also specifies the content requirements for such a notification.  </w:t>
      </w:r>
    </w:p>
    <w:p w14:paraId="031345D8" w14:textId="77777777" w:rsidR="00952CE2" w:rsidRPr="004F56E9" w:rsidRDefault="00952CE2" w:rsidP="00952CE2">
      <w:pPr>
        <w:rPr>
          <w:lang w:val="en-US"/>
        </w:rPr>
      </w:pPr>
      <w:r w:rsidRPr="004F56E9">
        <w:rPr>
          <w:lang w:val="en-US"/>
        </w:rPr>
        <w:t xml:space="preserve">"The court" is not given further description in the CSSA regarding its responsibilities, independence, competence, or other matters. However, a reasonable conclusion is that "the court" must be a court or other competent authority with the power to issue decisions in criminal cases, as the legal basis for surveillance under the CSSA largely presupposes a criminal act under national law (see Articles 5 and 7).  </w:t>
      </w:r>
    </w:p>
    <w:p w14:paraId="156B208D" w14:textId="700DC62F" w:rsidR="00952CE2" w:rsidRPr="004F56E9" w:rsidRDefault="00952CE2" w:rsidP="00952CE2">
      <w:pPr>
        <w:rPr>
          <w:lang w:val="en-US"/>
        </w:rPr>
      </w:pPr>
      <w:r w:rsidRPr="004F56E9">
        <w:rPr>
          <w:lang w:val="en-US"/>
        </w:rPr>
        <w:t xml:space="preserve">According to the EDPB, there is no requirement that "the court" must be a formal court. </w:t>
      </w:r>
      <w:proofErr w:type="gramStart"/>
      <w:r w:rsidRPr="004F56E9">
        <w:rPr>
          <w:lang w:val="en-US"/>
        </w:rPr>
        <w:t>As long as</w:t>
      </w:r>
      <w:proofErr w:type="gramEnd"/>
      <w:r w:rsidRPr="004F56E9">
        <w:rPr>
          <w:lang w:val="en-US"/>
        </w:rPr>
        <w:t xml:space="preserve"> cases can be brought before a "national authority" or "body" offering the guarantees mentioned in Article 47 of the Charter, this should be sufficient.</w:t>
      </w:r>
      <w:r w:rsidR="00B01B35">
        <w:rPr>
          <w:rStyle w:val="Fotnotereferanse"/>
          <w:lang w:val="en-US"/>
        </w:rPr>
        <w:footnoteReference w:id="27"/>
      </w:r>
      <w:r w:rsidRPr="004F56E9">
        <w:rPr>
          <w:lang w:val="en-US"/>
        </w:rPr>
        <w:t xml:space="preserve"> It is also important that the relevant body has the authority to issue binding decisions on the national surveillance and intelligence services. On this point, it is unclear whether "the court" is granted such authority in Taiwan.  </w:t>
      </w:r>
    </w:p>
    <w:p w14:paraId="49CC73BA" w14:textId="77777777" w:rsidR="00952CE2" w:rsidRPr="004F56E9" w:rsidRDefault="00952CE2" w:rsidP="00952CE2">
      <w:pPr>
        <w:rPr>
          <w:lang w:val="en-US"/>
        </w:rPr>
      </w:pPr>
      <w:r w:rsidRPr="004F56E9">
        <w:rPr>
          <w:lang w:val="en-US"/>
        </w:rPr>
        <w:t xml:space="preserve">Regarding the use and enforcement of applicable remedies, Article 24 of the CSSA states that illegal surveillance is punishable by "fixed-term imprisonment" of up to five years. Illegal disclosure of confidential or other types of information obtained under the CSSA is also punishable by "fixed-term imprisonment" of up to five years.  </w:t>
      </w:r>
    </w:p>
    <w:p w14:paraId="43808162" w14:textId="77777777" w:rsidR="00952CE2" w:rsidRPr="004F56E9" w:rsidRDefault="00952CE2" w:rsidP="00952CE2">
      <w:pPr>
        <w:rPr>
          <w:lang w:val="en-US"/>
        </w:rPr>
      </w:pPr>
      <w:r w:rsidRPr="004F56E9">
        <w:rPr>
          <w:lang w:val="en-US"/>
        </w:rPr>
        <w:t xml:space="preserve">The CSSA does not offer immediate enforcement of rights or remedies if illegal surveillance is conducted. This is because secrecy is a fundamental part of any surveillance action, making it difficult to enforce rights during the surveillance process.  </w:t>
      </w:r>
    </w:p>
    <w:p w14:paraId="33F06C23" w14:textId="3339A8CB" w:rsidR="00952CE2" w:rsidRPr="004F56E9" w:rsidRDefault="00952CE2" w:rsidP="00952CE2">
      <w:pPr>
        <w:rPr>
          <w:lang w:val="en-US"/>
        </w:rPr>
      </w:pPr>
      <w:r w:rsidRPr="004F56E9">
        <w:rPr>
          <w:lang w:val="en-US"/>
        </w:rPr>
        <w:t xml:space="preserve">Finally, it is worth noting that the PDPA allows for both administrative and legal processes for data subjects whose data </w:t>
      </w:r>
      <w:proofErr w:type="gramStart"/>
      <w:r w:rsidRPr="004F56E9">
        <w:rPr>
          <w:lang w:val="en-US"/>
        </w:rPr>
        <w:t>has</w:t>
      </w:r>
      <w:proofErr w:type="gramEnd"/>
      <w:r w:rsidRPr="004F56E9">
        <w:rPr>
          <w:lang w:val="en-US"/>
        </w:rPr>
        <w:t xml:space="preserve"> been disclosed ("transferred").</w:t>
      </w:r>
      <w:r w:rsidR="00480A67">
        <w:rPr>
          <w:rStyle w:val="Fotnotereferanse"/>
          <w:lang w:val="en-US"/>
        </w:rPr>
        <w:footnoteReference w:id="28"/>
      </w:r>
      <w:r w:rsidRPr="004F56E9">
        <w:rPr>
          <w:lang w:val="en-US"/>
        </w:rPr>
        <w:t xml:space="preserve"> Under certain circumstances, the PDPA grants data subjects the right to object to processing, review, revise, supplement, or delete their personal data. However, this point is only relevant to the extent that the remedies mentioned in the PDPA can also be applied to surveillance under the CSSA, which is uncertain.</w:t>
      </w:r>
    </w:p>
    <w:p w14:paraId="297144E5" w14:textId="77777777" w:rsidR="00952CE2" w:rsidRPr="004F56E9" w:rsidRDefault="00952CE2" w:rsidP="00952CE2">
      <w:pPr>
        <w:rPr>
          <w:lang w:val="en-US"/>
        </w:rPr>
      </w:pPr>
    </w:p>
    <w:p w14:paraId="796CD849" w14:textId="4C4617F9" w:rsidR="00952CE2" w:rsidRPr="004F56E9" w:rsidRDefault="00952CE2" w:rsidP="00C1166F">
      <w:pPr>
        <w:pStyle w:val="Overskrift4"/>
        <w:rPr>
          <w:lang w:val="en-US"/>
        </w:rPr>
      </w:pPr>
      <w:r w:rsidRPr="004F56E9">
        <w:rPr>
          <w:lang w:val="en-US"/>
        </w:rPr>
        <w:t>4.3.1.5. Conclusion</w:t>
      </w:r>
    </w:p>
    <w:p w14:paraId="572F57FF" w14:textId="77777777" w:rsidR="00952CE2" w:rsidRPr="004F56E9" w:rsidRDefault="00952CE2" w:rsidP="00952CE2">
      <w:pPr>
        <w:rPr>
          <w:lang w:val="en-US"/>
        </w:rPr>
      </w:pPr>
      <w:r w:rsidRPr="004F56E9">
        <w:rPr>
          <w:lang w:val="en-US"/>
        </w:rPr>
        <w:t>The project's assessment is that the CSSA does not meet the fundamental European guarantees. This applies to Guarantees C and D. As a result, the project must consider the need for additional supplementary measures to ensure an adequate level of protection for the transfer of personal data.</w:t>
      </w:r>
    </w:p>
    <w:p w14:paraId="4E4FA482" w14:textId="77777777" w:rsidR="00952CE2" w:rsidRPr="004F56E9" w:rsidRDefault="00952CE2" w:rsidP="00952CE2">
      <w:pPr>
        <w:rPr>
          <w:lang w:val="en-US"/>
        </w:rPr>
      </w:pPr>
    </w:p>
    <w:p w14:paraId="7687C21F" w14:textId="6C4FB827" w:rsidR="00952CE2" w:rsidRPr="004F56E9" w:rsidRDefault="00952CE2" w:rsidP="00C1166F">
      <w:pPr>
        <w:pStyle w:val="Overskrift2"/>
        <w:rPr>
          <w:lang w:val="en-US"/>
        </w:rPr>
      </w:pPr>
      <w:bookmarkStart w:id="14" w:name="_Toc176427844"/>
      <w:r w:rsidRPr="004F56E9">
        <w:rPr>
          <w:lang w:val="en-US"/>
        </w:rPr>
        <w:lastRenderedPageBreak/>
        <w:t>4.4. How the Relevant Laws Are Enforced in Practice</w:t>
      </w:r>
      <w:bookmarkEnd w:id="14"/>
    </w:p>
    <w:p w14:paraId="18D0FECE" w14:textId="77777777" w:rsidR="00952CE2" w:rsidRPr="004F56E9" w:rsidRDefault="00952CE2" w:rsidP="00952CE2">
      <w:pPr>
        <w:rPr>
          <w:lang w:val="en-US"/>
        </w:rPr>
      </w:pPr>
      <w:r w:rsidRPr="004F56E9">
        <w:rPr>
          <w:lang w:val="en-US"/>
        </w:rPr>
        <w:t xml:space="preserve">The project further assesses how the relevant laws applicable to the transfer are enforced in practice.  </w:t>
      </w:r>
    </w:p>
    <w:p w14:paraId="24CBD88A" w14:textId="77777777" w:rsidR="00952CE2" w:rsidRPr="004F56E9" w:rsidRDefault="00952CE2" w:rsidP="00952CE2">
      <w:pPr>
        <w:rPr>
          <w:lang w:val="en-US"/>
        </w:rPr>
      </w:pPr>
      <w:r w:rsidRPr="004F56E9">
        <w:rPr>
          <w:lang w:val="en-US"/>
        </w:rPr>
        <w:t xml:space="preserve">According to the EDPB's guidance, an analysis of the third country's practices can help verify the evaluation of the laws against the fundamental guarantees. Since the CSSA does not meet the fundamental guarantees, it is not necessary to consider and weigh practice in this way. However, the project chooses to include a description of practice because it is relevant to identifying supplementary security measures in the next step of the TIA.  </w:t>
      </w:r>
    </w:p>
    <w:p w14:paraId="3B3EE659" w14:textId="77777777" w:rsidR="00952CE2" w:rsidRPr="004F56E9" w:rsidRDefault="00952CE2" w:rsidP="00952CE2">
      <w:pPr>
        <w:rPr>
          <w:lang w:val="en-US"/>
        </w:rPr>
      </w:pPr>
      <w:r w:rsidRPr="004F56E9">
        <w:rPr>
          <w:lang w:val="en-US"/>
        </w:rPr>
        <w:t>The following section contains a review of practices from the PDPA, CSSA, Google, and the "Taiwan Internet Transparency Report" provided by the Taiwan Association for Human Rights. Finally, a summary of the dialogue with local expertise in Taiwan is presented.</w:t>
      </w:r>
    </w:p>
    <w:p w14:paraId="7717B15B" w14:textId="77777777" w:rsidR="00952CE2" w:rsidRPr="004F56E9" w:rsidRDefault="00952CE2" w:rsidP="00952CE2">
      <w:pPr>
        <w:rPr>
          <w:lang w:val="en-US"/>
        </w:rPr>
      </w:pPr>
    </w:p>
    <w:p w14:paraId="50839FA8" w14:textId="0FCC6283" w:rsidR="00952CE2" w:rsidRPr="004F56E9" w:rsidRDefault="00952CE2" w:rsidP="00C1166F">
      <w:pPr>
        <w:pStyle w:val="Overskrift3"/>
        <w:rPr>
          <w:lang w:val="en-US"/>
        </w:rPr>
      </w:pPr>
      <w:r w:rsidRPr="004F56E9">
        <w:rPr>
          <w:lang w:val="en-US"/>
        </w:rPr>
        <w:t>4.4.1. Case Law</w:t>
      </w:r>
    </w:p>
    <w:p w14:paraId="22EAB2AF" w14:textId="381278C9" w:rsidR="00952CE2" w:rsidRPr="004F56E9" w:rsidRDefault="00952CE2" w:rsidP="00C1166F">
      <w:pPr>
        <w:pStyle w:val="Overskrift4"/>
        <w:rPr>
          <w:lang w:val="en-US"/>
        </w:rPr>
      </w:pPr>
      <w:r w:rsidRPr="004F56E9">
        <w:rPr>
          <w:lang w:val="en-US"/>
        </w:rPr>
        <w:t>4.4.1.1. The Court System in Taiwan</w:t>
      </w:r>
    </w:p>
    <w:p w14:paraId="4018BC7A" w14:textId="77777777" w:rsidR="00952CE2" w:rsidRPr="004F56E9" w:rsidRDefault="00952CE2" w:rsidP="00952CE2">
      <w:pPr>
        <w:rPr>
          <w:lang w:val="en-US"/>
        </w:rPr>
      </w:pPr>
      <w:r w:rsidRPr="004F56E9">
        <w:rPr>
          <w:lang w:val="en-US"/>
        </w:rPr>
        <w:t xml:space="preserve">"Judicial Yuan" is a branch of the central government and constitutes the judicial system in Taiwan. The responsibility for and operation of the Taiwanese Constitutional Court is entrusted to the "Judicial Yuan," along with other parts of the functioning legal system, including ordinary courts, appellate courts, district courts, the Supreme Court, and more.  </w:t>
      </w:r>
    </w:p>
    <w:p w14:paraId="10036D90" w14:textId="77777777" w:rsidR="00952CE2" w:rsidRPr="004F56E9" w:rsidRDefault="00952CE2" w:rsidP="00952CE2">
      <w:pPr>
        <w:rPr>
          <w:lang w:val="en-US"/>
        </w:rPr>
      </w:pPr>
      <w:r w:rsidRPr="004F56E9">
        <w:rPr>
          <w:lang w:val="en-US"/>
        </w:rPr>
        <w:t>The Constitutional Court consists of 15 judges appointed by the President of Taiwan. The judges cannot take office without the consent of the "Legislative Yuan," which is the legislative body in Taiwan. The appointment of Constitutional Court judges appears to be subject to oversight by both the legislative and executive branches, giving the selection process a somewhat political nature.</w:t>
      </w:r>
    </w:p>
    <w:p w14:paraId="6E8EED99" w14:textId="77777777" w:rsidR="00952CE2" w:rsidRPr="004F56E9" w:rsidRDefault="00952CE2" w:rsidP="00952CE2">
      <w:pPr>
        <w:rPr>
          <w:lang w:val="en-US"/>
        </w:rPr>
      </w:pPr>
    </w:p>
    <w:p w14:paraId="7C3E00F0" w14:textId="37B07BE1" w:rsidR="00952CE2" w:rsidRPr="004F56E9" w:rsidRDefault="00952CE2" w:rsidP="00C1166F">
      <w:pPr>
        <w:pStyle w:val="Overskrift4"/>
        <w:rPr>
          <w:lang w:val="en-US"/>
        </w:rPr>
      </w:pPr>
      <w:r w:rsidRPr="004F56E9">
        <w:rPr>
          <w:lang w:val="en-US"/>
        </w:rPr>
        <w:t>4.4.1.2. PDPA</w:t>
      </w:r>
    </w:p>
    <w:p w14:paraId="05E6B2FB" w14:textId="2286A6B6" w:rsidR="00952CE2" w:rsidRPr="004F56E9" w:rsidRDefault="00952CE2" w:rsidP="00952CE2">
      <w:pPr>
        <w:rPr>
          <w:lang w:val="en-US"/>
        </w:rPr>
      </w:pPr>
      <w:r w:rsidRPr="004F56E9">
        <w:rPr>
          <w:lang w:val="en-US"/>
        </w:rPr>
        <w:t>There are several examples of court decisions regarding the PDPA and related laws in Taiwan. These are rulings issued by the Supreme Administrative Court, the Taiwan High Court, and the Taipei District Court.</w:t>
      </w:r>
      <w:r w:rsidR="001E1134">
        <w:rPr>
          <w:rStyle w:val="Fotnotereferanse"/>
          <w:lang w:val="en-US"/>
        </w:rPr>
        <w:footnoteReference w:id="29"/>
      </w:r>
      <w:r w:rsidRPr="004F56E9">
        <w:rPr>
          <w:lang w:val="en-US"/>
        </w:rPr>
        <w:t xml:space="preserve"> These rulings primarily address the enforcement and compliance with rights under the PDPA, particularly balancing these rights against state interests and considerations.  </w:t>
      </w:r>
    </w:p>
    <w:p w14:paraId="7E6D07D8" w14:textId="77777777" w:rsidR="00952CE2" w:rsidRPr="004F56E9" w:rsidRDefault="00952CE2" w:rsidP="00952CE2">
      <w:pPr>
        <w:rPr>
          <w:lang w:val="en-US"/>
        </w:rPr>
      </w:pPr>
      <w:r w:rsidRPr="004F56E9">
        <w:rPr>
          <w:lang w:val="en-US"/>
        </w:rPr>
        <w:t>The project has not identified any court decisions related to the PDPA that are relevant to this analysis. This is because the PDPA, as the project sees it, does not protect Norwegian users of GWE located in Norway. Therefore, we will not discuss the PDPA further in this country assessment.</w:t>
      </w:r>
    </w:p>
    <w:p w14:paraId="37D2E04E" w14:textId="77777777" w:rsidR="00952CE2" w:rsidRDefault="00952CE2" w:rsidP="00952CE2">
      <w:pPr>
        <w:rPr>
          <w:lang w:val="en-US"/>
        </w:rPr>
      </w:pPr>
    </w:p>
    <w:p w14:paraId="1CE7D666" w14:textId="088D3DCF" w:rsidR="00952CE2" w:rsidRPr="004F56E9" w:rsidRDefault="00952CE2" w:rsidP="00C1166F">
      <w:pPr>
        <w:pStyle w:val="Overskrift4"/>
        <w:rPr>
          <w:lang w:val="en-US"/>
        </w:rPr>
      </w:pPr>
      <w:r w:rsidRPr="004F56E9">
        <w:rPr>
          <w:lang w:val="en-US"/>
        </w:rPr>
        <w:t>4.4.1.3. Case No. 631</w:t>
      </w:r>
    </w:p>
    <w:p w14:paraId="21739CAD" w14:textId="45578EEB" w:rsidR="00952CE2" w:rsidRPr="004F56E9" w:rsidRDefault="00952CE2" w:rsidP="00952CE2">
      <w:pPr>
        <w:rPr>
          <w:lang w:val="en-US"/>
        </w:rPr>
      </w:pPr>
      <w:r w:rsidRPr="004F56E9">
        <w:rPr>
          <w:lang w:val="en-US"/>
        </w:rPr>
        <w:t>The Taiwanese Constitutional Court has published an "interpretation" (hereafter referred to as Interpretation No. 631 from 2007) titled "Issuance of Communications Surveillance Warrants Case." The Constitutional Court is part of the Taiwanese "Judicial Yuan." The interpretation concerns the application of Criminal Judgment 92-Shang-Su-882 (2003), which was issued by the Taiwan High Court.</w:t>
      </w:r>
      <w:r w:rsidR="00DD14E2">
        <w:rPr>
          <w:rStyle w:val="Fotnotereferanse"/>
          <w:lang w:val="en-US"/>
        </w:rPr>
        <w:footnoteReference w:id="30"/>
      </w:r>
      <w:r w:rsidRPr="004F56E9">
        <w:rPr>
          <w:lang w:val="en-US"/>
        </w:rPr>
        <w:t xml:space="preserve">  </w:t>
      </w:r>
    </w:p>
    <w:p w14:paraId="6B4E4C8C" w14:textId="77777777" w:rsidR="00952CE2" w:rsidRPr="004F56E9" w:rsidRDefault="00952CE2" w:rsidP="00952CE2">
      <w:pPr>
        <w:rPr>
          <w:lang w:val="en-US"/>
        </w:rPr>
      </w:pPr>
      <w:r w:rsidRPr="004F56E9">
        <w:rPr>
          <w:lang w:val="en-US"/>
        </w:rPr>
        <w:lastRenderedPageBreak/>
        <w:t xml:space="preserve">The interpretation addresses the constitutionality of Article 5, paragraph 2 of the CSSA in relation to Article 12 of Taiwan's Constitution on "freedom of secrecy of correspondence." It is regarded in Taiwan as an authoritative interpretive contribution to the enforcement of the law, both for ordinary law enforcement agencies in Taiwan and for other courts.  </w:t>
      </w:r>
    </w:p>
    <w:p w14:paraId="35DB7D70" w14:textId="5D8122A4" w:rsidR="00952CE2" w:rsidRPr="004F56E9" w:rsidRDefault="00952CE2" w:rsidP="00952CE2">
      <w:pPr>
        <w:rPr>
          <w:lang w:val="en-US"/>
        </w:rPr>
      </w:pPr>
      <w:r w:rsidRPr="004F56E9">
        <w:rPr>
          <w:lang w:val="en-US"/>
        </w:rPr>
        <w:t>The case involved the surveillance of a phone conversation between a Taiwanese police officer and Ms. X, during which the police officer, at Ms. X's request, disclosed information about Ms. KAO from the prosecutor's office database. The disclosure of information was illegal under Taiwanese criminal law, but because a police order for surveillance under Article 5, paragraph 2 of the CSSA does not require court approval, the police officer argued that the surveillance of the phone conversation violated Article 12 of the Taiwanese Constitution.</w:t>
      </w:r>
      <w:r w:rsidR="00DD14E2">
        <w:rPr>
          <w:rStyle w:val="Fotnotereferanse"/>
          <w:lang w:val="en-US"/>
        </w:rPr>
        <w:footnoteReference w:id="31"/>
      </w:r>
      <w:r w:rsidRPr="004F56E9">
        <w:rPr>
          <w:lang w:val="en-US"/>
        </w:rPr>
        <w:t xml:space="preserve">  </w:t>
      </w:r>
    </w:p>
    <w:p w14:paraId="4067FECA" w14:textId="77777777" w:rsidR="00952CE2" w:rsidRPr="004F56E9" w:rsidRDefault="00952CE2" w:rsidP="00952CE2">
      <w:pPr>
        <w:rPr>
          <w:lang w:val="en-US"/>
        </w:rPr>
      </w:pPr>
      <w:r w:rsidRPr="004F56E9">
        <w:rPr>
          <w:lang w:val="en-US"/>
        </w:rPr>
        <w:t xml:space="preserve">In its reasoning, the court describes the considerations and interests that should be </w:t>
      </w:r>
      <w:proofErr w:type="gramStart"/>
      <w:r w:rsidRPr="004F56E9">
        <w:rPr>
          <w:lang w:val="en-US"/>
        </w:rPr>
        <w:t>taken into account</w:t>
      </w:r>
      <w:proofErr w:type="gramEnd"/>
      <w:r w:rsidRPr="004F56E9">
        <w:rPr>
          <w:lang w:val="en-US"/>
        </w:rPr>
        <w:t xml:space="preserve"> when enforcing the CSSA. In its discussion of surveillance activities authorized under Articles 2, 5, and 7 of the CSSA, the court emphasizes that "[c]</w:t>
      </w:r>
      <w:proofErr w:type="spellStart"/>
      <w:r w:rsidRPr="004F56E9">
        <w:rPr>
          <w:lang w:val="en-US"/>
        </w:rPr>
        <w:t>ommunications</w:t>
      </w:r>
      <w:proofErr w:type="spellEnd"/>
      <w:r w:rsidRPr="004F56E9">
        <w:rPr>
          <w:lang w:val="en-US"/>
        </w:rPr>
        <w:t xml:space="preserve"> surveillance is essentially a measure that violates the people’s basic rights with extreme force and in a broad way. In order to achieve the purpose of the coercive measure, when conducting communications surveillance, the State usually deprives those who are put under surveillance of their rights to avoid such coercive measure before the measure is adopted."  </w:t>
      </w:r>
    </w:p>
    <w:p w14:paraId="70A661B3" w14:textId="77777777" w:rsidR="00952CE2" w:rsidRPr="004F56E9" w:rsidRDefault="00952CE2" w:rsidP="00952CE2">
      <w:pPr>
        <w:rPr>
          <w:lang w:val="en-US"/>
        </w:rPr>
      </w:pPr>
      <w:r w:rsidRPr="004F56E9">
        <w:rPr>
          <w:lang w:val="en-US"/>
        </w:rPr>
        <w:t xml:space="preserve">Furthermore, the court highlights the importance of limiting "unnecessary violations of privacy rights that occur due to the coercive measure adopted by investigation authorities and at the same time </w:t>
      </w:r>
      <w:proofErr w:type="gramStart"/>
      <w:r w:rsidRPr="004F56E9">
        <w:rPr>
          <w:lang w:val="en-US"/>
        </w:rPr>
        <w:t>not compromise</w:t>
      </w:r>
      <w:proofErr w:type="gramEnd"/>
      <w:r w:rsidRPr="004F56E9">
        <w:rPr>
          <w:lang w:val="en-US"/>
        </w:rPr>
        <w:t xml:space="preserve"> the purpose of the coercive measure."  </w:t>
      </w:r>
    </w:p>
    <w:p w14:paraId="39FEF375" w14:textId="77777777" w:rsidR="00952CE2" w:rsidRPr="004F56E9" w:rsidRDefault="00952CE2" w:rsidP="00952CE2">
      <w:pPr>
        <w:rPr>
          <w:lang w:val="en-US"/>
        </w:rPr>
      </w:pPr>
      <w:r w:rsidRPr="004F56E9">
        <w:rPr>
          <w:lang w:val="en-US"/>
        </w:rPr>
        <w:t xml:space="preserve">To limit the extent of the intrusion, the court emphasizes the necessity of establishing "an independent and impartial judicial institution in charge of reviewing government applications for communications surveillance warrants so that the people’s freedom of secrecy of correspondence can be protected."  </w:t>
      </w:r>
    </w:p>
    <w:p w14:paraId="04CEAAD8" w14:textId="77777777" w:rsidR="00952CE2" w:rsidRPr="004F56E9" w:rsidRDefault="00952CE2" w:rsidP="00952CE2">
      <w:pPr>
        <w:rPr>
          <w:lang w:val="en-US"/>
        </w:rPr>
      </w:pPr>
      <w:r w:rsidRPr="004F56E9">
        <w:rPr>
          <w:lang w:val="en-US"/>
        </w:rPr>
        <w:t xml:space="preserve">In conclusion, the court found that Article 5, paragraph 2 of the CSSA, at that time (2007), violated the right to "secrecy of correspondence." As a result, Article 5, paragraph 2 was nullified.  </w:t>
      </w:r>
    </w:p>
    <w:p w14:paraId="077CE40F" w14:textId="77777777" w:rsidR="00952CE2" w:rsidRPr="004F56E9" w:rsidRDefault="00952CE2" w:rsidP="00952CE2">
      <w:pPr>
        <w:rPr>
          <w:lang w:val="en-US"/>
        </w:rPr>
      </w:pPr>
      <w:r w:rsidRPr="004F56E9">
        <w:rPr>
          <w:lang w:val="en-US"/>
        </w:rPr>
        <w:t xml:space="preserve">Since 2007, several amendments have been made to Article 5, paragraph 2. The article now includes a provision that "[t]he interception warrant [...] shall be applied for, during the investigation, by the prosecutor upon receiving applications from judicial police </w:t>
      </w:r>
      <w:proofErr w:type="gramStart"/>
      <w:r w:rsidRPr="004F56E9">
        <w:rPr>
          <w:lang w:val="en-US"/>
        </w:rPr>
        <w:t>authorities, or</w:t>
      </w:r>
      <w:proofErr w:type="gramEnd"/>
      <w:r w:rsidRPr="004F56E9">
        <w:rPr>
          <w:lang w:val="en-US"/>
        </w:rPr>
        <w:t xml:space="preserve"> applied by the prosecutor ex officio to the court concerned for issuance." Based on this wording, it is now required that an application for a police order for surveillance must be routed through and approved by "the court concerned for issuance."  </w:t>
      </w:r>
    </w:p>
    <w:p w14:paraId="5D45C0C8" w14:textId="77777777" w:rsidR="00952CE2" w:rsidRPr="004F56E9" w:rsidRDefault="00952CE2" w:rsidP="00952CE2">
      <w:pPr>
        <w:rPr>
          <w:lang w:val="en-US"/>
        </w:rPr>
      </w:pPr>
      <w:r w:rsidRPr="004F56E9">
        <w:rPr>
          <w:lang w:val="en-US"/>
        </w:rPr>
        <w:t>The court's interpretation indicates that ongoing assessments are made regarding the constitutionality of the legal basis for surveillance. The interpretation illustrates that the court weighs the nature and extent of the intrusion against established rule-of-law principles of judicial oversight and proportionality. The interpretation resulted in a legal amendment that implements a form of legality principle; the extent of the intrusion dictates the safeguards that are implemented. The legal framework also appears dynamic, as specific provisions can be subject to change based on rule-of-law principles or individual rights.</w:t>
      </w:r>
    </w:p>
    <w:p w14:paraId="58018E60" w14:textId="77777777" w:rsidR="00952CE2" w:rsidRPr="004F56E9" w:rsidRDefault="00952CE2" w:rsidP="00952CE2">
      <w:pPr>
        <w:rPr>
          <w:lang w:val="en-US"/>
        </w:rPr>
      </w:pPr>
    </w:p>
    <w:p w14:paraId="45F014EE" w14:textId="2EEBF2E3" w:rsidR="00952CE2" w:rsidRPr="004F56E9" w:rsidRDefault="00952CE2" w:rsidP="00C1166F">
      <w:pPr>
        <w:pStyle w:val="Overskrift3"/>
        <w:rPr>
          <w:lang w:val="en-US"/>
        </w:rPr>
      </w:pPr>
      <w:r w:rsidRPr="004F56E9">
        <w:rPr>
          <w:lang w:val="en-US"/>
        </w:rPr>
        <w:lastRenderedPageBreak/>
        <w:t>4.4.2. Taiwan Internet Transparency Report</w:t>
      </w:r>
    </w:p>
    <w:p w14:paraId="41BF78BA" w14:textId="77777777" w:rsidR="00952CE2" w:rsidRPr="004F56E9" w:rsidRDefault="00952CE2" w:rsidP="00952CE2">
      <w:pPr>
        <w:rPr>
          <w:lang w:val="en-US"/>
        </w:rPr>
      </w:pPr>
      <w:r w:rsidRPr="004F56E9">
        <w:rPr>
          <w:lang w:val="en-US"/>
        </w:rPr>
        <w:t>The Taiwan Association for Human Rights (</w:t>
      </w:r>
      <w:r w:rsidRPr="00845C09">
        <w:rPr>
          <w:b/>
          <w:bCs/>
          <w:lang w:val="en-US"/>
        </w:rPr>
        <w:t>TAHR</w:t>
      </w:r>
      <w:r w:rsidRPr="004F56E9">
        <w:rPr>
          <w:lang w:val="en-US"/>
        </w:rPr>
        <w:t>) published a report in 2015 titled "Taiwan Internet Transparency Report" (hereafter referred to as "</w:t>
      </w:r>
      <w:r w:rsidRPr="00845C09">
        <w:rPr>
          <w:b/>
          <w:bCs/>
          <w:lang w:val="en-US"/>
        </w:rPr>
        <w:t>TITR</w:t>
      </w:r>
      <w:r w:rsidRPr="004F56E9">
        <w:rPr>
          <w:lang w:val="en-US"/>
        </w:rPr>
        <w:t>" or "</w:t>
      </w:r>
      <w:r w:rsidRPr="00845C09">
        <w:rPr>
          <w:b/>
          <w:bCs/>
          <w:lang w:val="en-US"/>
        </w:rPr>
        <w:t>the report</w:t>
      </w:r>
      <w:r w:rsidRPr="004F56E9">
        <w:rPr>
          <w:lang w:val="en-US"/>
        </w:rPr>
        <w:t xml:space="preserve">"). The purpose of the report was to highlight the extent of intrusion into privacy and personal data protection in Taiwan. The report is the result of a research project conducted by TAHR. The findings are based on the period from 2012 to 2014. Although the report is from 2015, the numbers are likely still representative of the situation in Taiwan. The report is therefore considered relevant to the country assessment.  </w:t>
      </w:r>
    </w:p>
    <w:p w14:paraId="69873E27" w14:textId="10F05014" w:rsidR="00952CE2" w:rsidRPr="004F56E9" w:rsidRDefault="00952CE2" w:rsidP="00952CE2">
      <w:pPr>
        <w:rPr>
          <w:lang w:val="en-US"/>
        </w:rPr>
      </w:pPr>
      <w:r w:rsidRPr="004F56E9">
        <w:rPr>
          <w:lang w:val="en-US"/>
        </w:rPr>
        <w:t>The report indicates that since 2010, Taiwanese authorities have significantly strengthened the country's technological surveillance capabilities.</w:t>
      </w:r>
      <w:r w:rsidR="00D83C2E">
        <w:rPr>
          <w:rStyle w:val="Fotnotereferanse"/>
          <w:lang w:val="en-US"/>
        </w:rPr>
        <w:footnoteReference w:id="32"/>
      </w:r>
      <w:r w:rsidRPr="004F56E9">
        <w:rPr>
          <w:lang w:val="en-US"/>
        </w:rPr>
        <w:t xml:space="preserve"> This has led to a substantial increase in wiretapping activities in Taiwan. TAHR further reports that compliance with rule-of-law principles regarding reasonable suspicion, due process, and independent oversight bodies is lacking. The report calls for greater transparency so that cases can be brought before open courts. In this context, the report's lead author, Ho Ming-</w:t>
      </w:r>
      <w:proofErr w:type="spellStart"/>
      <w:r w:rsidRPr="004F56E9">
        <w:rPr>
          <w:lang w:val="en-US"/>
        </w:rPr>
        <w:t>syuan</w:t>
      </w:r>
      <w:proofErr w:type="spellEnd"/>
      <w:r w:rsidRPr="004F56E9">
        <w:rPr>
          <w:lang w:val="en-US"/>
        </w:rPr>
        <w:t>, states that "[...] a great number of device users had not been informed about the surveillance demands and were left in the dark," and adds that "[...] most authorities simply skipped the legal procedures by writing to the operators, asking for information they wanted."</w:t>
      </w:r>
      <w:r w:rsidR="00E75A39">
        <w:rPr>
          <w:rStyle w:val="Fotnotereferanse"/>
          <w:lang w:val="en-US"/>
        </w:rPr>
        <w:footnoteReference w:id="33"/>
      </w:r>
      <w:r w:rsidRPr="004F56E9">
        <w:rPr>
          <w:lang w:val="en-US"/>
        </w:rPr>
        <w:t xml:space="preserve">  </w:t>
      </w:r>
    </w:p>
    <w:p w14:paraId="04683C0F" w14:textId="20C9FA08" w:rsidR="00952CE2" w:rsidRPr="004F56E9" w:rsidRDefault="00952CE2" w:rsidP="00952CE2">
      <w:pPr>
        <w:rPr>
          <w:lang w:val="en-US"/>
        </w:rPr>
      </w:pPr>
      <w:r w:rsidRPr="004F56E9">
        <w:rPr>
          <w:lang w:val="en-US"/>
        </w:rPr>
        <w:t>The report presents statistics on requests for data access or disclosure submitted by various government agencies. The statistics show which specific laws and provisions the requests were based on. It reveals that a large proportion of the requests were based on the CSSA. This applies across different government agencies (see Coast Guard Administration and National Police Agency).</w:t>
      </w:r>
      <w:r w:rsidR="00237C6C">
        <w:rPr>
          <w:rStyle w:val="Fotnotereferanse"/>
          <w:lang w:val="en-US"/>
        </w:rPr>
        <w:footnoteReference w:id="34"/>
      </w:r>
      <w:r w:rsidRPr="004F56E9">
        <w:rPr>
          <w:lang w:val="en-US"/>
        </w:rPr>
        <w:t xml:space="preserve">  </w:t>
      </w:r>
    </w:p>
    <w:p w14:paraId="2DD4AF6B" w14:textId="77777777" w:rsidR="00952CE2" w:rsidRPr="004F56E9" w:rsidRDefault="00952CE2" w:rsidP="00952CE2">
      <w:pPr>
        <w:rPr>
          <w:lang w:val="en-US"/>
        </w:rPr>
      </w:pPr>
      <w:r w:rsidRPr="004F56E9">
        <w:rPr>
          <w:lang w:val="en-US"/>
        </w:rPr>
        <w:t xml:space="preserve">The report also categorizes surveillance requests based on purpose. Under "Overview on reasons for internet personal data requests in 2012-2014," the report indicates that between 2012 and 2014, 3,765 out of 4,908 (76%) requests were justified by criminal investigations. These figures are based on feedback from only seven of the 14 agencies that were asked to provide statistics. The total number of requests (4,908) reported is therefore likely not a complete picture of surveillance activities in Taiwan between 2012 and 2014.  </w:t>
      </w:r>
    </w:p>
    <w:p w14:paraId="535A568A" w14:textId="77777777" w:rsidR="00952CE2" w:rsidRPr="004F56E9" w:rsidRDefault="00952CE2" w:rsidP="00952CE2">
      <w:pPr>
        <w:rPr>
          <w:lang w:val="en-US"/>
        </w:rPr>
      </w:pPr>
      <w:r w:rsidRPr="004F56E9">
        <w:rPr>
          <w:lang w:val="en-US"/>
        </w:rPr>
        <w:t xml:space="preserve">As mentioned in section 4.3.1.3, Article 16-1 of the CSSA requires that the "enforcement authority" and "supervisory authority" prepare an annual report with relevant statistics on the previous year's surveillance activity. In 2015, the TITR project requested access to this report, and the "Department of Statistics of the Judicial Yuan" granted access and made statistics available for the second half of 2014. The statistics were divided into eight categories (lines) of communication surveillance:  </w:t>
      </w:r>
    </w:p>
    <w:p w14:paraId="4BB6CE97" w14:textId="44A77387" w:rsidR="00952CE2" w:rsidRPr="00C1166F" w:rsidRDefault="00952CE2" w:rsidP="00ED5184">
      <w:pPr>
        <w:pStyle w:val="Listeavsnitt"/>
        <w:numPr>
          <w:ilvl w:val="0"/>
          <w:numId w:val="16"/>
        </w:numPr>
        <w:rPr>
          <w:lang w:val="en-US"/>
        </w:rPr>
      </w:pPr>
      <w:r w:rsidRPr="00C1166F">
        <w:rPr>
          <w:lang w:val="en-US"/>
        </w:rPr>
        <w:t xml:space="preserve">Local telephone and mobile surveillance,  </w:t>
      </w:r>
    </w:p>
    <w:p w14:paraId="3F204442" w14:textId="5234A617" w:rsidR="00952CE2" w:rsidRPr="00C1166F" w:rsidRDefault="00952CE2" w:rsidP="00ED5184">
      <w:pPr>
        <w:pStyle w:val="Listeavsnitt"/>
        <w:numPr>
          <w:ilvl w:val="0"/>
          <w:numId w:val="16"/>
        </w:numPr>
        <w:rPr>
          <w:lang w:val="en-US"/>
        </w:rPr>
      </w:pPr>
      <w:r w:rsidRPr="00C1166F">
        <w:rPr>
          <w:lang w:val="en-US"/>
        </w:rPr>
        <w:t xml:space="preserve">IMEI ("International Mobile Equipment Identity"),  </w:t>
      </w:r>
    </w:p>
    <w:p w14:paraId="53E763CE" w14:textId="08ED02B7" w:rsidR="00952CE2" w:rsidRPr="00C1166F" w:rsidRDefault="00952CE2" w:rsidP="00ED5184">
      <w:pPr>
        <w:pStyle w:val="Listeavsnitt"/>
        <w:numPr>
          <w:ilvl w:val="0"/>
          <w:numId w:val="16"/>
        </w:numPr>
        <w:rPr>
          <w:lang w:val="en-US"/>
        </w:rPr>
      </w:pPr>
      <w:r w:rsidRPr="00C1166F">
        <w:rPr>
          <w:lang w:val="en-US"/>
        </w:rPr>
        <w:t xml:space="preserve">IMSI ("International Mobile Subscriber Identity"),  </w:t>
      </w:r>
    </w:p>
    <w:p w14:paraId="6EECA8C7" w14:textId="543583C5" w:rsidR="00952CE2" w:rsidRPr="00C1166F" w:rsidRDefault="00952CE2" w:rsidP="00ED5184">
      <w:pPr>
        <w:pStyle w:val="Listeavsnitt"/>
        <w:numPr>
          <w:ilvl w:val="0"/>
          <w:numId w:val="16"/>
        </w:numPr>
        <w:rPr>
          <w:lang w:val="en-US"/>
        </w:rPr>
      </w:pPr>
      <w:r w:rsidRPr="00C1166F">
        <w:rPr>
          <w:lang w:val="en-US"/>
        </w:rPr>
        <w:t xml:space="preserve">HiNet ADSL accounts,  </w:t>
      </w:r>
    </w:p>
    <w:p w14:paraId="0813DD6C" w14:textId="225A5C44" w:rsidR="00952CE2" w:rsidRPr="00C1166F" w:rsidRDefault="00952CE2" w:rsidP="00ED5184">
      <w:pPr>
        <w:pStyle w:val="Listeavsnitt"/>
        <w:numPr>
          <w:ilvl w:val="0"/>
          <w:numId w:val="16"/>
        </w:numPr>
        <w:rPr>
          <w:lang w:val="en-US"/>
        </w:rPr>
      </w:pPr>
      <w:r w:rsidRPr="00C1166F">
        <w:rPr>
          <w:lang w:val="en-US"/>
        </w:rPr>
        <w:t xml:space="preserve">Internet telephone accounts (e.g., Skype),  </w:t>
      </w:r>
    </w:p>
    <w:p w14:paraId="7D2226E9" w14:textId="0437BB32" w:rsidR="00952CE2" w:rsidRPr="00C1166F" w:rsidRDefault="00952CE2" w:rsidP="00ED5184">
      <w:pPr>
        <w:pStyle w:val="Listeavsnitt"/>
        <w:numPr>
          <w:ilvl w:val="0"/>
          <w:numId w:val="16"/>
        </w:numPr>
        <w:rPr>
          <w:lang w:val="en-US"/>
        </w:rPr>
      </w:pPr>
      <w:r w:rsidRPr="00C1166F">
        <w:rPr>
          <w:lang w:val="en-US"/>
        </w:rPr>
        <w:t xml:space="preserve">Email addresses,  </w:t>
      </w:r>
    </w:p>
    <w:p w14:paraId="223BBF11" w14:textId="796C6E5F" w:rsidR="00952CE2" w:rsidRPr="00C1166F" w:rsidRDefault="00952CE2" w:rsidP="00ED5184">
      <w:pPr>
        <w:pStyle w:val="Listeavsnitt"/>
        <w:numPr>
          <w:ilvl w:val="0"/>
          <w:numId w:val="16"/>
        </w:numPr>
        <w:rPr>
          <w:lang w:val="en-US"/>
        </w:rPr>
      </w:pPr>
      <w:r w:rsidRPr="00C1166F">
        <w:rPr>
          <w:lang w:val="en-US"/>
        </w:rPr>
        <w:t xml:space="preserve">IP addresses,  </w:t>
      </w:r>
    </w:p>
    <w:p w14:paraId="691DC3EB" w14:textId="5F68891A" w:rsidR="00952CE2" w:rsidRPr="00C1166F" w:rsidRDefault="00952CE2" w:rsidP="00ED5184">
      <w:pPr>
        <w:pStyle w:val="Listeavsnitt"/>
        <w:numPr>
          <w:ilvl w:val="0"/>
          <w:numId w:val="16"/>
        </w:numPr>
        <w:rPr>
          <w:lang w:val="en-US"/>
        </w:rPr>
      </w:pPr>
      <w:r w:rsidRPr="00C1166F">
        <w:rPr>
          <w:lang w:val="en-US"/>
        </w:rPr>
        <w:lastRenderedPageBreak/>
        <w:t xml:space="preserve">Other.  </w:t>
      </w:r>
    </w:p>
    <w:p w14:paraId="35F1F8EC" w14:textId="6FE82959" w:rsidR="00952CE2" w:rsidRPr="004F56E9" w:rsidRDefault="00952CE2" w:rsidP="00952CE2">
      <w:pPr>
        <w:rPr>
          <w:lang w:val="en-US"/>
        </w:rPr>
      </w:pPr>
      <w:r w:rsidRPr="004F56E9">
        <w:rPr>
          <w:lang w:val="en-US"/>
        </w:rPr>
        <w:t>In the second half of 2014, 14,292 requests for communication surveillance were submitted across 21,125 lines. Of the total 14,292 requests, 89.31% (12,841) concerned surveillance of local telephone and mobile networks.</w:t>
      </w:r>
      <w:r w:rsidR="00845C09">
        <w:rPr>
          <w:rStyle w:val="Fotnotereferanse"/>
          <w:lang w:val="en-US"/>
        </w:rPr>
        <w:footnoteReference w:id="35"/>
      </w:r>
      <w:r w:rsidRPr="004F56E9">
        <w:rPr>
          <w:lang w:val="en-US"/>
        </w:rPr>
        <w:t xml:space="preserve">  </w:t>
      </w:r>
    </w:p>
    <w:p w14:paraId="1EE73474" w14:textId="77777777" w:rsidR="00952CE2" w:rsidRPr="004F56E9" w:rsidRDefault="00952CE2" w:rsidP="00952CE2">
      <w:pPr>
        <w:rPr>
          <w:lang w:val="en-US"/>
        </w:rPr>
      </w:pPr>
      <w:r w:rsidRPr="004F56E9">
        <w:rPr>
          <w:lang w:val="en-US"/>
        </w:rPr>
        <w:t xml:space="preserve">The statistics are incomplete in several areas. According to the report, significant dark figures are likely. When comparing statistics from the Judicial Yuan with statistics made available or provided by organizations that received requests for access or disclosure of data, significant discrepancies were revealed. The report highlights several factors that may contribute to this:  </w:t>
      </w:r>
    </w:p>
    <w:p w14:paraId="26D3FAE4" w14:textId="77639B2F" w:rsidR="00952CE2" w:rsidRPr="00C1166F" w:rsidRDefault="00952CE2" w:rsidP="00ED5184">
      <w:pPr>
        <w:pStyle w:val="Listeavsnitt"/>
        <w:numPr>
          <w:ilvl w:val="0"/>
          <w:numId w:val="12"/>
        </w:numPr>
        <w:rPr>
          <w:lang w:val="en-US"/>
        </w:rPr>
      </w:pPr>
      <w:r w:rsidRPr="00557820">
        <w:rPr>
          <w:b/>
          <w:bCs/>
          <w:lang w:val="en-US"/>
        </w:rPr>
        <w:t>Lack of specific numbers</w:t>
      </w:r>
      <w:r w:rsidRPr="00C1166F">
        <w:rPr>
          <w:lang w:val="en-US"/>
        </w:rPr>
        <w:t xml:space="preserve">: Of the 14 government agencies in Taiwan that were asked to provide information, only seven responded.  </w:t>
      </w:r>
    </w:p>
    <w:p w14:paraId="2D4CD1E0" w14:textId="16F1B7A3" w:rsidR="00952CE2" w:rsidRPr="00C1166F" w:rsidRDefault="00952CE2" w:rsidP="00ED5184">
      <w:pPr>
        <w:pStyle w:val="Listeavsnitt"/>
        <w:numPr>
          <w:ilvl w:val="0"/>
          <w:numId w:val="12"/>
        </w:numPr>
        <w:rPr>
          <w:lang w:val="en-US"/>
        </w:rPr>
      </w:pPr>
      <w:r w:rsidRPr="00557820">
        <w:rPr>
          <w:b/>
          <w:bCs/>
          <w:lang w:val="en-US"/>
        </w:rPr>
        <w:t>Lack of guidelines and procedures</w:t>
      </w:r>
      <w:r w:rsidRPr="00C1166F">
        <w:rPr>
          <w:lang w:val="en-US"/>
        </w:rPr>
        <w:t>: According to the report, only the "Criminal Investigation Bureau" could confirm that procedures had been established for systematizing statistics on their operations. It can therefore be concluded that the lack of clear guidelines and procedures for maintaining statistics at the various government agencies is a recurring challenge.</w:t>
      </w:r>
      <w:r w:rsidR="000327B9">
        <w:rPr>
          <w:rStyle w:val="Fotnotereferanse"/>
          <w:lang w:val="en-US"/>
        </w:rPr>
        <w:footnoteReference w:id="36"/>
      </w:r>
      <w:r w:rsidRPr="00C1166F">
        <w:rPr>
          <w:lang w:val="en-US"/>
        </w:rPr>
        <w:t xml:space="preserve">  </w:t>
      </w:r>
    </w:p>
    <w:p w14:paraId="771C3811" w14:textId="7C6CA598" w:rsidR="00952CE2" w:rsidRPr="00C1166F" w:rsidRDefault="00952CE2" w:rsidP="00ED5184">
      <w:pPr>
        <w:pStyle w:val="Listeavsnitt"/>
        <w:numPr>
          <w:ilvl w:val="0"/>
          <w:numId w:val="12"/>
        </w:numPr>
        <w:rPr>
          <w:lang w:val="en-US"/>
        </w:rPr>
      </w:pPr>
      <w:r w:rsidRPr="00557820">
        <w:rPr>
          <w:b/>
          <w:bCs/>
          <w:lang w:val="en-US"/>
        </w:rPr>
        <w:t>Lack of cooperation</w:t>
      </w:r>
      <w:r w:rsidRPr="00C1166F">
        <w:rPr>
          <w:lang w:val="en-US"/>
        </w:rPr>
        <w:t>: Several agencies either did not respond or opposed TAHR's request to share statistics.</w:t>
      </w:r>
      <w:r w:rsidR="000327B9">
        <w:rPr>
          <w:rStyle w:val="Fotnotereferanse"/>
          <w:lang w:val="en-US"/>
        </w:rPr>
        <w:footnoteReference w:id="37"/>
      </w:r>
      <w:r w:rsidRPr="00C1166F">
        <w:rPr>
          <w:lang w:val="en-US"/>
        </w:rPr>
        <w:t xml:space="preserve">  </w:t>
      </w:r>
    </w:p>
    <w:p w14:paraId="109FDF23" w14:textId="77646F9A" w:rsidR="00952CE2" w:rsidRPr="00C1166F" w:rsidRDefault="00952CE2" w:rsidP="00ED5184">
      <w:pPr>
        <w:pStyle w:val="Listeavsnitt"/>
        <w:numPr>
          <w:ilvl w:val="0"/>
          <w:numId w:val="12"/>
        </w:numPr>
        <w:rPr>
          <w:lang w:val="en-US"/>
        </w:rPr>
      </w:pPr>
      <w:r w:rsidRPr="00557820">
        <w:rPr>
          <w:b/>
          <w:bCs/>
          <w:lang w:val="en-US"/>
        </w:rPr>
        <w:t>Different understanding and perspective</w:t>
      </w:r>
      <w:r w:rsidRPr="00C1166F">
        <w:rPr>
          <w:lang w:val="en-US"/>
        </w:rPr>
        <w:t xml:space="preserve">: There seem to be significant differences in the definition of personal data across the actors TAHR contacted.  </w:t>
      </w:r>
    </w:p>
    <w:p w14:paraId="603FF809" w14:textId="437EFD95" w:rsidR="00952CE2" w:rsidRPr="00C1166F" w:rsidRDefault="00952CE2" w:rsidP="00ED5184">
      <w:pPr>
        <w:pStyle w:val="Listeavsnitt"/>
        <w:numPr>
          <w:ilvl w:val="0"/>
          <w:numId w:val="12"/>
        </w:numPr>
        <w:rPr>
          <w:lang w:val="en-US"/>
        </w:rPr>
      </w:pPr>
      <w:r w:rsidRPr="00557820">
        <w:rPr>
          <w:b/>
          <w:bCs/>
          <w:lang w:val="en-US"/>
        </w:rPr>
        <w:t>Legal gag order</w:t>
      </w:r>
      <w:r w:rsidRPr="00C1166F">
        <w:rPr>
          <w:lang w:val="en-US"/>
        </w:rPr>
        <w:t>: According to the National Security Bureau in Taiwan, the agency is legally prevented from sharing information under Article 16-1, paragraph 2 of the CSSA. This type of "gag order" likely applies to several other actors as well.</w:t>
      </w:r>
      <w:r w:rsidR="000327B9">
        <w:rPr>
          <w:rStyle w:val="Fotnotereferanse"/>
          <w:lang w:val="en-US"/>
        </w:rPr>
        <w:footnoteReference w:id="38"/>
      </w:r>
    </w:p>
    <w:p w14:paraId="111B6590" w14:textId="77777777" w:rsidR="00952CE2" w:rsidRPr="004F56E9" w:rsidRDefault="00952CE2" w:rsidP="00952CE2">
      <w:pPr>
        <w:rPr>
          <w:lang w:val="en-US"/>
        </w:rPr>
      </w:pPr>
    </w:p>
    <w:p w14:paraId="42B22AB9" w14:textId="0966B4AA" w:rsidR="00952CE2" w:rsidRPr="004F56E9" w:rsidRDefault="00952CE2" w:rsidP="004B56D1">
      <w:pPr>
        <w:pStyle w:val="Overskrift4"/>
        <w:rPr>
          <w:lang w:val="en-US"/>
        </w:rPr>
      </w:pPr>
      <w:r w:rsidRPr="004F56E9">
        <w:rPr>
          <w:lang w:val="en-US"/>
        </w:rPr>
        <w:t>4.4.2.1. Conclusion from the "Taiwan Internet Transparency Report (TITR)"</w:t>
      </w:r>
    </w:p>
    <w:p w14:paraId="3CD34FE7" w14:textId="77777777" w:rsidR="00952CE2" w:rsidRPr="004F56E9" w:rsidRDefault="00952CE2" w:rsidP="00952CE2">
      <w:pPr>
        <w:rPr>
          <w:lang w:val="en-US"/>
        </w:rPr>
      </w:pPr>
      <w:r w:rsidRPr="004F56E9">
        <w:rPr>
          <w:lang w:val="en-US"/>
        </w:rPr>
        <w:t xml:space="preserve">The report reveals several issues that are relevant to assessing how the CSSA is enforced in practice. However, two points are particularly important for evaluating the protection of personal data transferred to Taiwan:  </w:t>
      </w:r>
    </w:p>
    <w:p w14:paraId="11AD1482" w14:textId="5CA779CE" w:rsidR="00952CE2" w:rsidRDefault="00952CE2" w:rsidP="00ED5184">
      <w:pPr>
        <w:pStyle w:val="Listeavsnitt"/>
        <w:numPr>
          <w:ilvl w:val="0"/>
          <w:numId w:val="17"/>
        </w:numPr>
        <w:rPr>
          <w:lang w:val="en-US"/>
        </w:rPr>
      </w:pPr>
      <w:r w:rsidRPr="00C1166F">
        <w:rPr>
          <w:lang w:val="en-US"/>
        </w:rPr>
        <w:t xml:space="preserve">According to the report, 89% of reported surveillance requests concerned local telephone and mobile networks. Since the use of GWE in Norwegian schools only involves data processing in the other service levels of the OSI model, it can be argued that the practical implementation of the CSSA does not significantly affect the transfer to Taiwan.  </w:t>
      </w:r>
    </w:p>
    <w:p w14:paraId="68BE60F9" w14:textId="6CAD4B1F" w:rsidR="00C1166F" w:rsidRPr="00C1166F" w:rsidRDefault="00C1166F" w:rsidP="00C1166F">
      <w:pPr>
        <w:pStyle w:val="Listeavsnitt"/>
        <w:rPr>
          <w:lang w:val="en-US"/>
        </w:rPr>
      </w:pPr>
    </w:p>
    <w:p w14:paraId="37F86C8F" w14:textId="419A8BB8" w:rsidR="00952CE2" w:rsidRPr="00C1166F" w:rsidRDefault="00952CE2" w:rsidP="00ED5184">
      <w:pPr>
        <w:pStyle w:val="Listeavsnitt"/>
        <w:numPr>
          <w:ilvl w:val="0"/>
          <w:numId w:val="17"/>
        </w:numPr>
        <w:rPr>
          <w:lang w:val="en-US"/>
        </w:rPr>
      </w:pPr>
      <w:r w:rsidRPr="00C1166F">
        <w:rPr>
          <w:lang w:val="en-US"/>
        </w:rPr>
        <w:t>According to the report, 76% of all surveillance requests between 2012 and 2014 were made as part of a criminal investigation. The project draws the following conclusion from this: To the extent that surveillance occurs in Taiwan, it is highly likely that the surveillance is triggered by Taiwanese criminal law. This significantly narrows the scope of data that may be affected by government surveillance under the CSSA.</w:t>
      </w:r>
    </w:p>
    <w:p w14:paraId="738E687C" w14:textId="10A525F5" w:rsidR="00952CE2" w:rsidRPr="004F56E9" w:rsidRDefault="00952CE2" w:rsidP="00952CE2">
      <w:pPr>
        <w:rPr>
          <w:lang w:val="en-US"/>
        </w:rPr>
      </w:pPr>
    </w:p>
    <w:p w14:paraId="394B638B" w14:textId="546B39A2" w:rsidR="00952CE2" w:rsidRPr="004F56E9" w:rsidRDefault="00952CE2" w:rsidP="004B56D1">
      <w:pPr>
        <w:pStyle w:val="Overskrift3"/>
        <w:rPr>
          <w:lang w:val="en-US"/>
        </w:rPr>
      </w:pPr>
      <w:r w:rsidRPr="004F56E9">
        <w:rPr>
          <w:lang w:val="en-US"/>
        </w:rPr>
        <w:t>4.4.3. Google</w:t>
      </w:r>
    </w:p>
    <w:p w14:paraId="77B6A2CF" w14:textId="11EC3177" w:rsidR="00952CE2" w:rsidRPr="004F56E9" w:rsidRDefault="00952CE2" w:rsidP="004B56D1">
      <w:pPr>
        <w:pStyle w:val="Overskrift4"/>
        <w:rPr>
          <w:lang w:val="en-US"/>
        </w:rPr>
      </w:pPr>
      <w:r w:rsidRPr="004F56E9">
        <w:rPr>
          <w:lang w:val="en-US"/>
        </w:rPr>
        <w:t>4.4.3.1. Google's "Transparency Reports"</w:t>
      </w:r>
    </w:p>
    <w:p w14:paraId="31732B39" w14:textId="2ABCE9AC" w:rsidR="00952CE2" w:rsidRPr="004F56E9" w:rsidRDefault="00952CE2" w:rsidP="00952CE2">
      <w:pPr>
        <w:rPr>
          <w:lang w:val="en-US"/>
        </w:rPr>
      </w:pPr>
      <w:r w:rsidRPr="004F56E9">
        <w:rPr>
          <w:lang w:val="en-US"/>
        </w:rPr>
        <w:t>Google regularly publishes reports with statistics on global requests for user information. The reports are updated every six months. They provide data on the number and type of requests Google receives from government authorities.</w:t>
      </w:r>
      <w:r w:rsidR="00FC723C">
        <w:rPr>
          <w:rStyle w:val="Fotnotereferanse"/>
          <w:lang w:val="en-US"/>
        </w:rPr>
        <w:footnoteReference w:id="39"/>
      </w:r>
      <w:r w:rsidRPr="004F56E9">
        <w:rPr>
          <w:lang w:val="en-US"/>
        </w:rPr>
        <w:t xml:space="preserve">  </w:t>
      </w:r>
    </w:p>
    <w:p w14:paraId="4E6B618E" w14:textId="22D5E211" w:rsidR="00952CE2" w:rsidRPr="004F56E9" w:rsidRDefault="00952CE2" w:rsidP="00952CE2">
      <w:pPr>
        <w:rPr>
          <w:lang w:val="en-US"/>
        </w:rPr>
      </w:pPr>
      <w:r w:rsidRPr="004F56E9">
        <w:rPr>
          <w:lang w:val="en-US"/>
        </w:rPr>
        <w:t xml:space="preserve">Since January 2020 and through 2024, Google reports a total of 5,550 requests from Taiwanese authorities. On average, just over half of these requests resulted in the disclosure of data. The reports distinguish between "Emergency disclosure requests" and "Other legal requests." It is not clear what this distinction </w:t>
      </w:r>
      <w:proofErr w:type="gramStart"/>
      <w:r w:rsidRPr="004F56E9">
        <w:rPr>
          <w:lang w:val="en-US"/>
        </w:rPr>
        <w:t>entails</w:t>
      </w:r>
      <w:proofErr w:type="gramEnd"/>
      <w:r w:rsidRPr="004F56E9">
        <w:rPr>
          <w:lang w:val="en-US"/>
        </w:rPr>
        <w:t xml:space="preserve"> or which laws the requests are based on. The report provides only a quantitative overview of the situation from Google's perspective.</w:t>
      </w:r>
    </w:p>
    <w:p w14:paraId="088A54FD" w14:textId="77777777" w:rsidR="00952CE2" w:rsidRPr="004F56E9" w:rsidRDefault="00952CE2" w:rsidP="00952CE2">
      <w:pPr>
        <w:rPr>
          <w:lang w:val="en-US"/>
        </w:rPr>
      </w:pPr>
    </w:p>
    <w:p w14:paraId="3DEB1D91" w14:textId="452091B6" w:rsidR="00952CE2" w:rsidRPr="004F56E9" w:rsidRDefault="00952CE2" w:rsidP="004B56D1">
      <w:pPr>
        <w:pStyle w:val="Overskrift4"/>
        <w:rPr>
          <w:lang w:val="en-US"/>
        </w:rPr>
      </w:pPr>
      <w:r w:rsidRPr="004F56E9">
        <w:rPr>
          <w:lang w:val="en-US"/>
        </w:rPr>
        <w:t>4.4.3.2. Correspondence with Google</w:t>
      </w:r>
    </w:p>
    <w:p w14:paraId="6AEDC22E" w14:textId="77777777" w:rsidR="00952CE2" w:rsidRPr="004F56E9" w:rsidRDefault="00952CE2" w:rsidP="00952CE2">
      <w:pPr>
        <w:rPr>
          <w:lang w:val="en-US"/>
        </w:rPr>
      </w:pPr>
      <w:r w:rsidRPr="004F56E9">
        <w:rPr>
          <w:lang w:val="en-US"/>
        </w:rPr>
        <w:t xml:space="preserve">The project contacted Google to request information relevant to the country assessment. A written request was sent to Google on April 29, 2024, and a response was received on May 10, 2024. The request asked Google to describe its handling of data disclosure requests from Taiwanese authorities.  </w:t>
      </w:r>
    </w:p>
    <w:p w14:paraId="6F157D54" w14:textId="257E3135" w:rsidR="00952CE2" w:rsidRPr="004F56E9" w:rsidRDefault="00952CE2" w:rsidP="00952CE2">
      <w:pPr>
        <w:rPr>
          <w:lang w:val="en-US"/>
        </w:rPr>
      </w:pPr>
      <w:r w:rsidRPr="004F56E9">
        <w:rPr>
          <w:lang w:val="en-US"/>
        </w:rPr>
        <w:t xml:space="preserve">The project considers Google's response to be of limited value to the country assessment. Google referred to publicly available information in its "Transparency Reports." Only Google's reporting of statistics on disclosure requests related to GWE was relevant to the project. Google reported that it had received only four requests related to GWE in 2022. </w:t>
      </w:r>
      <w:proofErr w:type="gramStart"/>
      <w:r w:rsidRPr="004F56E9">
        <w:rPr>
          <w:lang w:val="en-US"/>
        </w:rPr>
        <w:t>In light of</w:t>
      </w:r>
      <w:proofErr w:type="gramEnd"/>
      <w:r w:rsidRPr="004F56E9">
        <w:rPr>
          <w:lang w:val="en-US"/>
        </w:rPr>
        <w:t xml:space="preserve"> the report from TAHR in section 4.4.2.1 (1), this suggests little to no change in the frequency and scope of surveillance since 2014. There is little reason to believe that the situation will change in the coming years.</w:t>
      </w:r>
    </w:p>
    <w:p w14:paraId="27641F93" w14:textId="77777777" w:rsidR="00AD4950" w:rsidRPr="004F56E9" w:rsidRDefault="00AD4950" w:rsidP="00952CE2">
      <w:pPr>
        <w:rPr>
          <w:lang w:val="en-US"/>
        </w:rPr>
      </w:pPr>
    </w:p>
    <w:p w14:paraId="26760364" w14:textId="20AFB836" w:rsidR="00952CE2" w:rsidRPr="004F56E9" w:rsidRDefault="00952CE2" w:rsidP="00AD4950">
      <w:pPr>
        <w:pStyle w:val="Overskrift3"/>
        <w:rPr>
          <w:lang w:val="en-US"/>
        </w:rPr>
      </w:pPr>
      <w:r w:rsidRPr="004F56E9">
        <w:rPr>
          <w:lang w:val="en-US"/>
        </w:rPr>
        <w:t>4.4.4. Local Expertise in Taiwan</w:t>
      </w:r>
    </w:p>
    <w:p w14:paraId="240770FD" w14:textId="77777777" w:rsidR="00952CE2" w:rsidRPr="004F56E9" w:rsidRDefault="00952CE2" w:rsidP="00952CE2">
      <w:pPr>
        <w:rPr>
          <w:lang w:val="en-US"/>
        </w:rPr>
      </w:pPr>
      <w:r w:rsidRPr="004F56E9">
        <w:rPr>
          <w:lang w:val="en-US"/>
        </w:rPr>
        <w:t xml:space="preserve">The project has been in dialogue with local expertise in Taiwan and has sent questions to the law firm Nishimura &amp; Asahi Taiwan. The purpose is to verify that the project's interpretation of Taiwanese law aligns with current law in Taiwan. The questions include statements about Taiwanese law that needed to be confirmed or refuted.  </w:t>
      </w:r>
    </w:p>
    <w:p w14:paraId="4C865421" w14:textId="77777777" w:rsidR="00952CE2" w:rsidRPr="004F56E9" w:rsidRDefault="00952CE2" w:rsidP="00952CE2">
      <w:pPr>
        <w:rPr>
          <w:lang w:val="en-US"/>
        </w:rPr>
      </w:pPr>
      <w:r w:rsidRPr="004F56E9">
        <w:rPr>
          <w:lang w:val="en-US"/>
        </w:rPr>
        <w:t>Nishimura &amp; Asahi supports the project's conclusions on key points. Responses from Nishimura &amp; Asahi Taiwan, along with the project's questions, can be found in the appendix to this country assessment.</w:t>
      </w:r>
    </w:p>
    <w:p w14:paraId="7A5677CE" w14:textId="77777777" w:rsidR="00AD4950" w:rsidRPr="004F56E9" w:rsidRDefault="00AD4950" w:rsidP="00952CE2">
      <w:pPr>
        <w:rPr>
          <w:lang w:val="en-US"/>
        </w:rPr>
      </w:pPr>
    </w:p>
    <w:p w14:paraId="1D8808BD" w14:textId="7D2457D4" w:rsidR="00952CE2" w:rsidRPr="004F56E9" w:rsidRDefault="00952CE2" w:rsidP="00952CE2">
      <w:pPr>
        <w:pStyle w:val="Overskrift2"/>
        <w:rPr>
          <w:lang w:val="en-US"/>
        </w:rPr>
      </w:pPr>
      <w:bookmarkStart w:id="15" w:name="_Toc176427845"/>
      <w:r w:rsidRPr="004F56E9">
        <w:rPr>
          <w:lang w:val="en-US"/>
        </w:rPr>
        <w:t>4.5. Summary of Practices</w:t>
      </w:r>
      <w:bookmarkEnd w:id="15"/>
    </w:p>
    <w:p w14:paraId="24FE0D1D" w14:textId="77777777" w:rsidR="00952CE2" w:rsidRPr="004F56E9" w:rsidRDefault="00952CE2" w:rsidP="00952CE2">
      <w:pPr>
        <w:rPr>
          <w:lang w:val="en-US"/>
        </w:rPr>
      </w:pPr>
      <w:r w:rsidRPr="004F56E9">
        <w:rPr>
          <w:lang w:val="en-US"/>
        </w:rPr>
        <w:t xml:space="preserve">The review of practices provides an understanding of how the relevant laws for data transfer are enforced in Taiwan. The project follows the EDPB's guidance, which recommends analyzing the third country's practices to verify whether the laws meet the fundamental guarantees. Although the CSSA </w:t>
      </w:r>
      <w:r w:rsidRPr="004F56E9">
        <w:rPr>
          <w:lang w:val="en-US"/>
        </w:rPr>
        <w:lastRenderedPageBreak/>
        <w:t xml:space="preserve">does not meet the fundamental guarantees, the description of practices is included to identify supplementary security measures in the TIA analysis.  </w:t>
      </w:r>
    </w:p>
    <w:p w14:paraId="4149DB0A" w14:textId="77777777" w:rsidR="00952CE2" w:rsidRPr="004F56E9" w:rsidRDefault="00952CE2" w:rsidP="00952CE2">
      <w:pPr>
        <w:rPr>
          <w:lang w:val="en-US"/>
        </w:rPr>
      </w:pPr>
      <w:r w:rsidRPr="004F56E9">
        <w:rPr>
          <w:lang w:val="en-US"/>
        </w:rPr>
        <w:t xml:space="preserve">The text provides a detailed review of case law, including a description of the "Judicial Yuan" and a case (Interpretation No. 631) concerning the legality of surveillance under the CSSA. This interpretation resulted in a law change requiring judicial oversight of surveillance requests.  </w:t>
      </w:r>
    </w:p>
    <w:p w14:paraId="4964EFBD" w14:textId="77777777" w:rsidR="00952CE2" w:rsidRPr="004F56E9" w:rsidRDefault="00952CE2" w:rsidP="00952CE2">
      <w:pPr>
        <w:rPr>
          <w:lang w:val="en-US"/>
        </w:rPr>
      </w:pPr>
      <w:r w:rsidRPr="004F56E9">
        <w:rPr>
          <w:lang w:val="en-US"/>
        </w:rPr>
        <w:t xml:space="preserve">The "Taiwan Internet Transparency Report" (TITR) from 2015 highlights increased surveillance activity and shortcomings in the rule of law in Taiwan. The report points to significant dark figures and a lack of transparency from Taiwanese authorities.  </w:t>
      </w:r>
    </w:p>
    <w:p w14:paraId="4BD06346" w14:textId="064E1C90" w:rsidR="00952CE2" w:rsidRDefault="00952CE2" w:rsidP="00952CE2">
      <w:pPr>
        <w:rPr>
          <w:lang w:val="en-US"/>
        </w:rPr>
      </w:pPr>
      <w:r w:rsidRPr="004F56E9">
        <w:rPr>
          <w:lang w:val="en-US"/>
        </w:rPr>
        <w:t>Google's "Transparency Reports" show that there have been relatively few requests for data disclosure from Taiwanese authorities. The project also corresponded with Google, which confirmed a limited number of requests related to GWE.</w:t>
      </w:r>
    </w:p>
    <w:p w14:paraId="04B40439" w14:textId="77777777" w:rsidR="00093F33" w:rsidRPr="004F56E9" w:rsidRDefault="00093F33" w:rsidP="00952CE2">
      <w:pPr>
        <w:rPr>
          <w:lang w:val="en-US"/>
        </w:rPr>
      </w:pPr>
    </w:p>
    <w:p w14:paraId="2949DB0C" w14:textId="22CB6CB2" w:rsidR="00952CE2" w:rsidRPr="004F56E9" w:rsidRDefault="00952CE2" w:rsidP="00952CE2">
      <w:pPr>
        <w:pStyle w:val="Overskrift1"/>
        <w:rPr>
          <w:lang w:val="en-US"/>
        </w:rPr>
      </w:pPr>
      <w:bookmarkStart w:id="16" w:name="_Toc176427846"/>
      <w:r w:rsidRPr="004F56E9">
        <w:rPr>
          <w:lang w:val="en-US"/>
        </w:rPr>
        <w:t>5. Conclusion and Recommendation</w:t>
      </w:r>
      <w:bookmarkEnd w:id="16"/>
    </w:p>
    <w:p w14:paraId="11651BE0" w14:textId="77777777" w:rsidR="00952CE2" w:rsidRPr="004F56E9" w:rsidRDefault="00952CE2" w:rsidP="00952CE2">
      <w:pPr>
        <w:rPr>
          <w:lang w:val="en-US"/>
        </w:rPr>
      </w:pPr>
      <w:r w:rsidRPr="004F56E9">
        <w:rPr>
          <w:lang w:val="en-US"/>
        </w:rPr>
        <w:t xml:space="preserve">The country assessment shows that although Taiwan's laws and practices have been amended to improve legal certainty, there are still significant challenges regarding surveillance and transparency. </w:t>
      </w:r>
      <w:proofErr w:type="gramStart"/>
      <w:r w:rsidRPr="004F56E9">
        <w:rPr>
          <w:lang w:val="en-US"/>
        </w:rPr>
        <w:t>In particular, most</w:t>
      </w:r>
      <w:proofErr w:type="gramEnd"/>
      <w:r w:rsidRPr="004F56E9">
        <w:rPr>
          <w:lang w:val="en-US"/>
        </w:rPr>
        <w:t xml:space="preserve"> surveillance requests are related to criminal investigations and predominantly affect local telephone and mobile networks.  </w:t>
      </w:r>
    </w:p>
    <w:p w14:paraId="6EEB22E9" w14:textId="77777777" w:rsidR="00952CE2" w:rsidRPr="004F56E9" w:rsidRDefault="00952CE2" w:rsidP="00952CE2">
      <w:pPr>
        <w:rPr>
          <w:lang w:val="en-US"/>
        </w:rPr>
      </w:pPr>
      <w:r w:rsidRPr="004F56E9">
        <w:rPr>
          <w:lang w:val="en-US"/>
        </w:rPr>
        <w:t xml:space="preserve">This suggests that the use of GWE in Norwegian schools is unlikely to be significantly affected by Taiwanese surveillance. However, there is uncertainty about the full extent of government intrusion into privacy, which requires the implementation of supplementary security measures.  </w:t>
      </w:r>
    </w:p>
    <w:p w14:paraId="4DA729DF" w14:textId="77777777" w:rsidR="00952CE2" w:rsidRPr="004F56E9" w:rsidRDefault="00952CE2" w:rsidP="00952CE2">
      <w:pPr>
        <w:rPr>
          <w:lang w:val="en-US"/>
        </w:rPr>
      </w:pPr>
      <w:r w:rsidRPr="004F56E9">
        <w:rPr>
          <w:lang w:val="en-US"/>
        </w:rPr>
        <w:t xml:space="preserve">Based on the analysis, it is advised not to transfer personal data to Taiwan due to significant concerns about the enforcement of the CSSA in practice and the lack of guarantees for privacy protection.  </w:t>
      </w:r>
    </w:p>
    <w:p w14:paraId="20FE3923" w14:textId="77777777" w:rsidR="00952CE2" w:rsidRPr="004F56E9" w:rsidRDefault="00952CE2" w:rsidP="00952CE2">
      <w:pPr>
        <w:rPr>
          <w:lang w:val="en-US"/>
        </w:rPr>
      </w:pPr>
      <w:r w:rsidRPr="004F56E9">
        <w:rPr>
          <w:lang w:val="en-US"/>
        </w:rPr>
        <w:t>It is important to note that this is only a recommendation, and the final decision on whether to transfer personal data to Taiwan must be made by the individual organization based on its own assessment of the risks.</w:t>
      </w:r>
    </w:p>
    <w:p w14:paraId="747EE3B3" w14:textId="77777777" w:rsidR="00BE3415" w:rsidRPr="004F56E9" w:rsidRDefault="00BE3415" w:rsidP="0058655F">
      <w:pPr>
        <w:pStyle w:val="Overskrift2"/>
        <w:rPr>
          <w:lang w:val="en-US"/>
        </w:rPr>
        <w:sectPr w:rsidR="00BE3415" w:rsidRPr="004F56E9" w:rsidSect="00C775CF">
          <w:headerReference w:type="default" r:id="rId13"/>
          <w:footerReference w:type="default" r:id="rId14"/>
          <w:pgSz w:w="11906" w:h="16838"/>
          <w:pgMar w:top="1417" w:right="1417" w:bottom="1417" w:left="1417" w:header="708" w:footer="708" w:gutter="0"/>
          <w:cols w:space="708"/>
          <w:docGrid w:linePitch="360"/>
        </w:sectPr>
      </w:pPr>
    </w:p>
    <w:p w14:paraId="0FED1604" w14:textId="423C0355" w:rsidR="00E22764" w:rsidRPr="004F56E9" w:rsidRDefault="00E22764" w:rsidP="00C1166F">
      <w:pPr>
        <w:pStyle w:val="Overskrift1"/>
        <w:rPr>
          <w:lang w:val="en-US"/>
        </w:rPr>
      </w:pPr>
      <w:bookmarkStart w:id="17" w:name="_Toc161830942"/>
      <w:bookmarkStart w:id="18" w:name="_Toc161830991"/>
      <w:bookmarkStart w:id="19" w:name="_Toc161830943"/>
      <w:bookmarkStart w:id="20" w:name="_Toc161830992"/>
      <w:bookmarkStart w:id="21" w:name="_Toc161830944"/>
      <w:bookmarkStart w:id="22" w:name="_Toc161830993"/>
      <w:bookmarkStart w:id="23" w:name="_Toc161830945"/>
      <w:bookmarkStart w:id="24" w:name="_Toc161830994"/>
      <w:bookmarkStart w:id="25" w:name="_Toc161830946"/>
      <w:bookmarkStart w:id="26" w:name="_Toc161830995"/>
      <w:bookmarkStart w:id="27" w:name="_Toc161830947"/>
      <w:bookmarkStart w:id="28" w:name="_Toc161830996"/>
      <w:bookmarkStart w:id="29" w:name="_Toc161830948"/>
      <w:bookmarkStart w:id="30" w:name="_Toc161830997"/>
      <w:bookmarkStart w:id="31" w:name="_Toc161830949"/>
      <w:bookmarkStart w:id="32" w:name="_Toc161830998"/>
      <w:bookmarkStart w:id="33" w:name="_Toc161830950"/>
      <w:bookmarkStart w:id="34" w:name="_Toc161830999"/>
      <w:bookmarkStart w:id="35" w:name="_Toc161830951"/>
      <w:bookmarkStart w:id="36" w:name="_Toc161831000"/>
      <w:bookmarkStart w:id="37" w:name="_Toc161830952"/>
      <w:bookmarkStart w:id="38" w:name="_Toc161831001"/>
      <w:bookmarkStart w:id="39" w:name="_Toc161830953"/>
      <w:bookmarkStart w:id="40" w:name="_Toc161831002"/>
      <w:bookmarkStart w:id="41" w:name="_Toc161830954"/>
      <w:bookmarkStart w:id="42" w:name="_Toc161831003"/>
      <w:bookmarkStart w:id="43" w:name="_Toc161830955"/>
      <w:bookmarkStart w:id="44" w:name="_Toc161831004"/>
      <w:bookmarkStart w:id="45" w:name="_Toc17642784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F56E9">
        <w:rPr>
          <w:lang w:val="en-US"/>
        </w:rPr>
        <w:lastRenderedPageBreak/>
        <w:t>References</w:t>
      </w:r>
      <w:bookmarkEnd w:id="45"/>
    </w:p>
    <w:p w14:paraId="15723FFE" w14:textId="77777777" w:rsidR="00E22764" w:rsidRPr="004F56E9" w:rsidRDefault="00E22764" w:rsidP="00E22764">
      <w:pPr>
        <w:rPr>
          <w:b/>
          <w:bCs/>
          <w:lang w:val="en-US"/>
        </w:rPr>
      </w:pPr>
      <w:r w:rsidRPr="004F56E9">
        <w:rPr>
          <w:b/>
          <w:bCs/>
          <w:lang w:val="en-US"/>
        </w:rPr>
        <w:t>Legislation and Legal Documentation</w:t>
      </w:r>
    </w:p>
    <w:p w14:paraId="5B0DBF61" w14:textId="77777777" w:rsidR="00E22764" w:rsidRPr="004F56E9" w:rsidRDefault="00E22764" w:rsidP="00ED5184">
      <w:pPr>
        <w:numPr>
          <w:ilvl w:val="0"/>
          <w:numId w:val="8"/>
        </w:numPr>
        <w:rPr>
          <w:lang w:val="en-US"/>
        </w:rPr>
      </w:pPr>
      <w:r w:rsidRPr="004F56E9">
        <w:rPr>
          <w:lang w:val="en-US"/>
        </w:rPr>
        <w:t xml:space="preserve">Personal Data Protection Act (PDPA), </w:t>
      </w:r>
      <w:hyperlink r:id="rId15" w:tgtFrame="_new" w:history="1">
        <w:r w:rsidRPr="004F56E9">
          <w:rPr>
            <w:rStyle w:val="Hyperkobling"/>
            <w:lang w:val="en-US"/>
          </w:rPr>
          <w:t>https://law.moj.gov.tw/Eng/LawClass/LawAll.aspx?PCode=I0050021</w:t>
        </w:r>
      </w:hyperlink>
    </w:p>
    <w:p w14:paraId="3973E2E8" w14:textId="77777777" w:rsidR="00E22764" w:rsidRPr="004F56E9" w:rsidRDefault="00E22764" w:rsidP="00ED5184">
      <w:pPr>
        <w:numPr>
          <w:ilvl w:val="0"/>
          <w:numId w:val="8"/>
        </w:numPr>
        <w:rPr>
          <w:lang w:val="en-US"/>
        </w:rPr>
      </w:pPr>
      <w:r w:rsidRPr="004F56E9">
        <w:rPr>
          <w:lang w:val="en-US"/>
        </w:rPr>
        <w:t xml:space="preserve">Telecommunications Act (TA), </w:t>
      </w:r>
      <w:hyperlink r:id="rId16" w:tgtFrame="_new" w:history="1">
        <w:r w:rsidRPr="004F56E9">
          <w:rPr>
            <w:rStyle w:val="Hyperkobling"/>
            <w:lang w:val="en-US"/>
          </w:rPr>
          <w:t>https://law.moj.gov.tw/ENG/LawClass/LawAll.aspx?pcode=K0060001</w:t>
        </w:r>
      </w:hyperlink>
    </w:p>
    <w:p w14:paraId="2DD4B533" w14:textId="77777777" w:rsidR="00E22764" w:rsidRPr="004F56E9" w:rsidRDefault="00E22764" w:rsidP="00ED5184">
      <w:pPr>
        <w:numPr>
          <w:ilvl w:val="0"/>
          <w:numId w:val="8"/>
        </w:numPr>
        <w:rPr>
          <w:lang w:val="en-US"/>
        </w:rPr>
      </w:pPr>
      <w:r w:rsidRPr="004F56E9">
        <w:rPr>
          <w:lang w:val="en-US"/>
        </w:rPr>
        <w:t xml:space="preserve">Telecommunications Management Act (TMA), </w:t>
      </w:r>
      <w:hyperlink r:id="rId17" w:tgtFrame="_new" w:history="1">
        <w:r w:rsidRPr="004F56E9">
          <w:rPr>
            <w:rStyle w:val="Hyperkobling"/>
            <w:lang w:val="en-US"/>
          </w:rPr>
          <w:t>https://law.moj.gov.tw/ENG/LawClass/LawAll.aspx?pcode=K0060111</w:t>
        </w:r>
      </w:hyperlink>
    </w:p>
    <w:p w14:paraId="543833FA" w14:textId="77777777" w:rsidR="00E22764" w:rsidRPr="004F56E9" w:rsidRDefault="00E22764" w:rsidP="00ED5184">
      <w:pPr>
        <w:numPr>
          <w:ilvl w:val="0"/>
          <w:numId w:val="8"/>
        </w:numPr>
        <w:rPr>
          <w:lang w:val="en-US"/>
        </w:rPr>
      </w:pPr>
      <w:r w:rsidRPr="004F56E9">
        <w:rPr>
          <w:lang w:val="en-US"/>
        </w:rPr>
        <w:t xml:space="preserve">European Data Protection Board (EDPB), "Recommendations 02/2020 on the European Essential Guarantees for surveillance measures Adopted on 10 November 2020," 2020, </w:t>
      </w:r>
      <w:hyperlink r:id="rId18" w:tgtFrame="_new" w:history="1">
        <w:r w:rsidRPr="004F56E9">
          <w:rPr>
            <w:rStyle w:val="Hyperkobling"/>
            <w:lang w:val="en-US"/>
          </w:rPr>
          <w:t>https://www.edpb.europa.eu/sites/default/files/files/file1/edpb_recommendations_202002_europeanessentialguaranteessurveillance_en.pdf</w:t>
        </w:r>
      </w:hyperlink>
    </w:p>
    <w:p w14:paraId="0B2EDE7B" w14:textId="77777777" w:rsidR="00E22764" w:rsidRPr="004F56E9" w:rsidRDefault="00E22764" w:rsidP="00ED5184">
      <w:pPr>
        <w:numPr>
          <w:ilvl w:val="0"/>
          <w:numId w:val="8"/>
        </w:numPr>
        <w:rPr>
          <w:lang w:val="en-US"/>
        </w:rPr>
      </w:pPr>
      <w:r w:rsidRPr="004F56E9">
        <w:rPr>
          <w:lang w:val="en-US"/>
        </w:rPr>
        <w:t xml:space="preserve">Constitutional Court R.O.C (Taiwan), No.631 [Issuance of Communications Surveillance Warrants Case], 20.07.2007, </w:t>
      </w:r>
      <w:hyperlink r:id="rId19" w:tgtFrame="_new" w:history="1">
        <w:r w:rsidRPr="004F56E9">
          <w:rPr>
            <w:rStyle w:val="Hyperkobling"/>
            <w:lang w:val="en-US"/>
          </w:rPr>
          <w:t>https://cons.judicial.gov.tw/en/docdata.aspx?fid=100&amp;id=310812</w:t>
        </w:r>
      </w:hyperlink>
    </w:p>
    <w:p w14:paraId="2019D44D" w14:textId="77777777" w:rsidR="00E22764" w:rsidRPr="004F56E9" w:rsidRDefault="00E22764" w:rsidP="00ED5184">
      <w:pPr>
        <w:numPr>
          <w:ilvl w:val="0"/>
          <w:numId w:val="8"/>
        </w:numPr>
        <w:rPr>
          <w:lang w:val="en-US"/>
        </w:rPr>
      </w:pPr>
      <w:r w:rsidRPr="004F56E9">
        <w:rPr>
          <w:lang w:val="en-US"/>
        </w:rPr>
        <w:t xml:space="preserve">Law on the Strengthening of Human Rights in Norwegian Law (Human Rights Act), Article 8, </w:t>
      </w:r>
      <w:hyperlink r:id="rId20" w:anchor="KAPITTEL_2" w:tgtFrame="_new" w:history="1">
        <w:r w:rsidRPr="004F56E9">
          <w:rPr>
            <w:rStyle w:val="Hyperkobling"/>
            <w:lang w:val="en-US"/>
          </w:rPr>
          <w:t>https://lovdata.no/dokument/NL/lov/1999-05-21-30/KAPITTEL_2#KAPITTEL_2</w:t>
        </w:r>
      </w:hyperlink>
    </w:p>
    <w:p w14:paraId="19F2499E" w14:textId="77777777" w:rsidR="00E22764" w:rsidRPr="004F56E9" w:rsidRDefault="00E22764" w:rsidP="00E22764">
      <w:pPr>
        <w:rPr>
          <w:b/>
          <w:bCs/>
          <w:lang w:val="en-US"/>
        </w:rPr>
      </w:pPr>
      <w:r w:rsidRPr="004F56E9">
        <w:rPr>
          <w:b/>
          <w:bCs/>
          <w:lang w:val="en-US"/>
        </w:rPr>
        <w:t>Literature</w:t>
      </w:r>
    </w:p>
    <w:p w14:paraId="7EFEFC59" w14:textId="77777777" w:rsidR="00E22764" w:rsidRPr="004F56E9" w:rsidRDefault="00E22764" w:rsidP="00ED5184">
      <w:pPr>
        <w:numPr>
          <w:ilvl w:val="0"/>
          <w:numId w:val="9"/>
        </w:numPr>
        <w:rPr>
          <w:lang w:val="en-US"/>
        </w:rPr>
      </w:pPr>
      <w:r w:rsidRPr="004F56E9">
        <w:rPr>
          <w:lang w:val="en-US"/>
        </w:rPr>
        <w:t xml:space="preserve">31 J. Marshall J. Info. Tech. &amp; Privacy L. 145, "Eyes on the Road Program in Taiwan―Information Privacy issues under the Taiwan Personal Data Protection Act," 2015, </w:t>
      </w:r>
      <w:hyperlink r:id="rId21" w:tgtFrame="_new" w:history="1">
        <w:r w:rsidRPr="004F56E9">
          <w:rPr>
            <w:rStyle w:val="Hyperkobling"/>
            <w:lang w:val="en-US"/>
          </w:rPr>
          <w:t>https://repository.law.uic.edu/cgi/viewcontent.cgi?article=1758&amp;context=jitpl</w:t>
        </w:r>
      </w:hyperlink>
    </w:p>
    <w:p w14:paraId="1723ED40" w14:textId="77777777" w:rsidR="00E22764" w:rsidRPr="004F56E9" w:rsidRDefault="00E22764" w:rsidP="00ED5184">
      <w:pPr>
        <w:numPr>
          <w:ilvl w:val="0"/>
          <w:numId w:val="9"/>
        </w:numPr>
        <w:rPr>
          <w:lang w:val="en-US"/>
        </w:rPr>
      </w:pPr>
      <w:r w:rsidRPr="004F56E9">
        <w:rPr>
          <w:lang w:val="en-US"/>
        </w:rPr>
        <w:t>Leading Cases of the Taiwan Constitutional Court, "Background Note by the translator, No.631, Volume One, Judicial Yuan, 2018</w:t>
      </w:r>
    </w:p>
    <w:p w14:paraId="58518119" w14:textId="77777777" w:rsidR="00E22764" w:rsidRPr="004F56E9" w:rsidRDefault="00E22764" w:rsidP="00E22764">
      <w:pPr>
        <w:rPr>
          <w:b/>
          <w:bCs/>
          <w:lang w:val="en-US"/>
        </w:rPr>
      </w:pPr>
      <w:r w:rsidRPr="004F56E9">
        <w:rPr>
          <w:b/>
          <w:bCs/>
          <w:lang w:val="en-US"/>
        </w:rPr>
        <w:t>Other Sources</w:t>
      </w:r>
    </w:p>
    <w:p w14:paraId="49D2758C" w14:textId="77777777" w:rsidR="00E22764" w:rsidRPr="004F56E9" w:rsidRDefault="00E22764" w:rsidP="00ED5184">
      <w:pPr>
        <w:numPr>
          <w:ilvl w:val="0"/>
          <w:numId w:val="10"/>
        </w:numPr>
        <w:rPr>
          <w:lang w:val="en-US"/>
        </w:rPr>
      </w:pPr>
      <w:proofErr w:type="spellStart"/>
      <w:r w:rsidRPr="004F56E9">
        <w:rPr>
          <w:lang w:val="en-US"/>
        </w:rPr>
        <w:t>DataGuidance</w:t>
      </w:r>
      <w:proofErr w:type="spellEnd"/>
      <w:r w:rsidRPr="004F56E9">
        <w:rPr>
          <w:lang w:val="en-US"/>
        </w:rPr>
        <w:t xml:space="preserve"> Taiwan - Data Protection Overview | Guidance Note | </w:t>
      </w:r>
      <w:proofErr w:type="spellStart"/>
      <w:r w:rsidRPr="004F56E9">
        <w:rPr>
          <w:lang w:val="en-US"/>
        </w:rPr>
        <w:t>DataGuidance</w:t>
      </w:r>
      <w:proofErr w:type="spellEnd"/>
    </w:p>
    <w:p w14:paraId="29F4510E" w14:textId="77777777" w:rsidR="00E22764" w:rsidRPr="004F56E9" w:rsidRDefault="00E22764" w:rsidP="00ED5184">
      <w:pPr>
        <w:numPr>
          <w:ilvl w:val="0"/>
          <w:numId w:val="10"/>
        </w:numPr>
        <w:rPr>
          <w:lang w:val="en-US"/>
        </w:rPr>
      </w:pPr>
      <w:r w:rsidRPr="004F56E9">
        <w:rPr>
          <w:lang w:val="en-US"/>
        </w:rPr>
        <w:t xml:space="preserve">Freedom House, Taiwan Overview, </w:t>
      </w:r>
      <w:hyperlink r:id="rId22" w:tgtFrame="_new" w:history="1">
        <w:r w:rsidRPr="004F56E9">
          <w:rPr>
            <w:rStyle w:val="Hyperkobling"/>
            <w:lang w:val="en-US"/>
          </w:rPr>
          <w:t>https://freedomhouse.org/country/taiwan/freedom-net/2021</w:t>
        </w:r>
      </w:hyperlink>
    </w:p>
    <w:p w14:paraId="1CD64DB8" w14:textId="77777777" w:rsidR="00E22764" w:rsidRPr="004F56E9" w:rsidRDefault="00E22764" w:rsidP="00ED5184">
      <w:pPr>
        <w:numPr>
          <w:ilvl w:val="0"/>
          <w:numId w:val="10"/>
        </w:numPr>
        <w:rPr>
          <w:lang w:val="en-US"/>
        </w:rPr>
      </w:pPr>
      <w:r w:rsidRPr="004F56E9">
        <w:rPr>
          <w:lang w:val="en-US"/>
        </w:rPr>
        <w:t xml:space="preserve">Global Taiwan Institute, Closing Loopholes in the Legal Framework for Government Surveillance in Taiwan, Global Taiwan Brief, Vol. 5, Issue 3, 2020, </w:t>
      </w:r>
      <w:hyperlink r:id="rId23" w:tgtFrame="_new" w:history="1">
        <w:r w:rsidRPr="004F56E9">
          <w:rPr>
            <w:rStyle w:val="Hyperkobling"/>
            <w:lang w:val="en-US"/>
          </w:rPr>
          <w:t>https://globaltaiwan.org/2020/02/closing-loopholes-in-the-legal-framework-for-government-surveillance-in-taiwan/</w:t>
        </w:r>
      </w:hyperlink>
    </w:p>
    <w:p w14:paraId="64705832" w14:textId="77777777" w:rsidR="00E22764" w:rsidRPr="004F56E9" w:rsidRDefault="00E22764" w:rsidP="00ED5184">
      <w:pPr>
        <w:numPr>
          <w:ilvl w:val="0"/>
          <w:numId w:val="10"/>
        </w:numPr>
        <w:rPr>
          <w:lang w:val="en-US"/>
        </w:rPr>
      </w:pPr>
      <w:r w:rsidRPr="004F56E9">
        <w:rPr>
          <w:lang w:val="en-US"/>
        </w:rPr>
        <w:t xml:space="preserve">Legislative Yuan, </w:t>
      </w:r>
      <w:hyperlink r:id="rId24" w:tgtFrame="_new" w:history="1">
        <w:r w:rsidRPr="004F56E9">
          <w:rPr>
            <w:rStyle w:val="Hyperkobling"/>
            <w:lang w:val="en-US"/>
          </w:rPr>
          <w:t>https://en.wikipedia.org/wiki/Legislative_Yuan</w:t>
        </w:r>
      </w:hyperlink>
    </w:p>
    <w:p w14:paraId="44F45386" w14:textId="77777777" w:rsidR="00E22764" w:rsidRPr="004F56E9" w:rsidRDefault="00E22764" w:rsidP="00ED5184">
      <w:pPr>
        <w:numPr>
          <w:ilvl w:val="0"/>
          <w:numId w:val="10"/>
        </w:numPr>
        <w:rPr>
          <w:lang w:val="en-US"/>
        </w:rPr>
      </w:pPr>
      <w:r w:rsidRPr="004F56E9">
        <w:rPr>
          <w:lang w:val="en-US"/>
        </w:rPr>
        <w:t xml:space="preserve">Lee and Li, Attorneys at Law, Newsletter, "The Telecommunications Management Act Becomes Effective on July 1, 2020," </w:t>
      </w:r>
      <w:hyperlink r:id="rId25" w:tgtFrame="_new" w:history="1">
        <w:r w:rsidRPr="004F56E9">
          <w:rPr>
            <w:rStyle w:val="Hyperkobling"/>
            <w:lang w:val="en-US"/>
          </w:rPr>
          <w:t>https://www.leeandli.com/EN/NewslettersDetail/6496.htm</w:t>
        </w:r>
      </w:hyperlink>
    </w:p>
    <w:p w14:paraId="6C3521F4" w14:textId="77777777" w:rsidR="00E22764" w:rsidRPr="004F56E9" w:rsidRDefault="00E22764" w:rsidP="00ED5184">
      <w:pPr>
        <w:numPr>
          <w:ilvl w:val="0"/>
          <w:numId w:val="10"/>
        </w:numPr>
        <w:rPr>
          <w:lang w:val="en-US"/>
        </w:rPr>
      </w:pPr>
      <w:r w:rsidRPr="004F56E9">
        <w:rPr>
          <w:lang w:val="en-US"/>
        </w:rPr>
        <w:t xml:space="preserve">Taiwan Internet Transparency Report, Taiwan Association for Human Rights (TAHR), 2015, </w:t>
      </w:r>
      <w:hyperlink r:id="rId26" w:tgtFrame="_new" w:history="1">
        <w:r w:rsidRPr="004F56E9">
          <w:rPr>
            <w:rStyle w:val="Hyperkobling"/>
            <w:lang w:val="en-US"/>
          </w:rPr>
          <w:t>https://transparency.tahr.org.tw/TITR_Report_2015_en.pdf</w:t>
        </w:r>
      </w:hyperlink>
    </w:p>
    <w:p w14:paraId="4D648B85" w14:textId="77777777" w:rsidR="00E22764" w:rsidRPr="004F56E9" w:rsidRDefault="00E22764" w:rsidP="00ED5184">
      <w:pPr>
        <w:numPr>
          <w:ilvl w:val="0"/>
          <w:numId w:val="10"/>
        </w:numPr>
        <w:rPr>
          <w:lang w:val="en-US"/>
        </w:rPr>
      </w:pPr>
      <w:r w:rsidRPr="004F56E9">
        <w:rPr>
          <w:lang w:val="en-US"/>
        </w:rPr>
        <w:lastRenderedPageBreak/>
        <w:t xml:space="preserve">Google Transparency Report, Global requests for user information, Taiwan, </w:t>
      </w:r>
      <w:hyperlink r:id="rId27" w:tgtFrame="_new" w:history="1">
        <w:r w:rsidRPr="004F56E9">
          <w:rPr>
            <w:rStyle w:val="Hyperkobling"/>
            <w:lang w:val="en-US"/>
          </w:rPr>
          <w:t>https://transparencyreport.google.com/user-data/overview?hl=en_US&amp;user_requests_report_period=series:requests,accounts;authority:TW;time:&amp;lu=legal_process_breakdown&amp;legal_process_breakdown=expanded:0</w:t>
        </w:r>
      </w:hyperlink>
    </w:p>
    <w:p w14:paraId="25494D27" w14:textId="77777777" w:rsidR="00E22764" w:rsidRPr="004F56E9" w:rsidRDefault="00E22764" w:rsidP="00E22764">
      <w:pPr>
        <w:rPr>
          <w:b/>
          <w:bCs/>
          <w:lang w:val="en-US"/>
        </w:rPr>
      </w:pPr>
      <w:r w:rsidRPr="004F56E9">
        <w:rPr>
          <w:b/>
          <w:bCs/>
          <w:lang w:val="en-US"/>
        </w:rPr>
        <w:t>Illustrations</w:t>
      </w:r>
    </w:p>
    <w:p w14:paraId="082190DC" w14:textId="77777777" w:rsidR="00E22764" w:rsidRPr="004F56E9" w:rsidRDefault="00E22764" w:rsidP="00ED5184">
      <w:pPr>
        <w:numPr>
          <w:ilvl w:val="0"/>
          <w:numId w:val="11"/>
        </w:numPr>
        <w:rPr>
          <w:lang w:val="en-US"/>
        </w:rPr>
      </w:pPr>
      <w:r w:rsidRPr="004F56E9">
        <w:rPr>
          <w:lang w:val="en-US"/>
        </w:rPr>
        <w:t xml:space="preserve">OSI Model, </w:t>
      </w:r>
      <w:hyperlink r:id="rId28" w:tgtFrame="_new" w:history="1">
        <w:r w:rsidRPr="004F56E9">
          <w:rPr>
            <w:rStyle w:val="Hyperkobling"/>
            <w:lang w:val="en-US"/>
          </w:rPr>
          <w:t>https://cdn.codegym.cc/images/article/3effcdd0-5b89-4574-b154-c2c1c65d945d/512.jpeg</w:t>
        </w:r>
      </w:hyperlink>
    </w:p>
    <w:p w14:paraId="72355579" w14:textId="031D07A9" w:rsidR="00D66F07" w:rsidRPr="004F56E9" w:rsidRDefault="00D66F07">
      <w:pPr>
        <w:rPr>
          <w:lang w:val="en-US"/>
        </w:rPr>
      </w:pPr>
      <w:r w:rsidRPr="004F56E9">
        <w:rPr>
          <w:lang w:val="en-US"/>
        </w:rPr>
        <w:br w:type="page"/>
      </w:r>
    </w:p>
    <w:p w14:paraId="256C9D8A" w14:textId="77777777" w:rsidR="00D66F07" w:rsidRPr="004F56E9" w:rsidRDefault="00D66F07" w:rsidP="00FF3E35">
      <w:pPr>
        <w:rPr>
          <w:b/>
          <w:bCs/>
          <w:sz w:val="36"/>
          <w:szCs w:val="36"/>
          <w:lang w:val="en-US"/>
        </w:rPr>
        <w:sectPr w:rsidR="00D66F07" w:rsidRPr="004F56E9">
          <w:pgSz w:w="11906" w:h="16838"/>
          <w:pgMar w:top="1417" w:right="1417" w:bottom="1417" w:left="1417" w:header="708" w:footer="708" w:gutter="0"/>
          <w:cols w:space="708"/>
          <w:docGrid w:linePitch="360"/>
        </w:sectPr>
      </w:pPr>
    </w:p>
    <w:p w14:paraId="191A95A1" w14:textId="666F8DF7" w:rsidR="00D66F07" w:rsidRPr="004F56E9" w:rsidRDefault="00C1166F" w:rsidP="00ED5184">
      <w:pPr>
        <w:pStyle w:val="Overskrift1"/>
        <w:rPr>
          <w:lang w:val="en-US"/>
        </w:rPr>
      </w:pPr>
      <w:bookmarkStart w:id="46" w:name="_Toc176427848"/>
      <w:r w:rsidRPr="00C1166F">
        <w:rPr>
          <w:lang w:val="en-US"/>
        </w:rPr>
        <w:lastRenderedPageBreak/>
        <w:t>Questions and Answers from Local Expertise at Nishimura &amp; Asahi Taiwan Law Firm</w:t>
      </w:r>
      <w:bookmarkEnd w:id="46"/>
      <w:r w:rsidR="00D66F07" w:rsidRPr="004F56E9">
        <w:rPr>
          <w:b/>
          <w:bCs/>
          <w:sz w:val="36"/>
          <w:szCs w:val="36"/>
          <w:lang w:val="en-US"/>
        </w:rPr>
        <w:t xml:space="preserve"> </w:t>
      </w:r>
    </w:p>
    <w:tbl>
      <w:tblPr>
        <w:tblStyle w:val="Tabellrutenett"/>
        <w:tblW w:w="0" w:type="auto"/>
        <w:tblLook w:val="04A0" w:firstRow="1" w:lastRow="0" w:firstColumn="1" w:lastColumn="0" w:noHBand="0" w:noVBand="1"/>
      </w:tblPr>
      <w:tblGrid>
        <w:gridCol w:w="541"/>
        <w:gridCol w:w="3648"/>
        <w:gridCol w:w="1264"/>
        <w:gridCol w:w="5366"/>
        <w:gridCol w:w="1667"/>
        <w:gridCol w:w="1520"/>
      </w:tblGrid>
      <w:tr w:rsidR="00D66F07" w:rsidRPr="004F56E9" w14:paraId="46952A9D" w14:textId="77777777" w:rsidTr="008836DB">
        <w:tc>
          <w:tcPr>
            <w:tcW w:w="562" w:type="dxa"/>
            <w:vAlign w:val="center"/>
          </w:tcPr>
          <w:p w14:paraId="2BEB0753"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w:t>
            </w:r>
          </w:p>
        </w:tc>
        <w:tc>
          <w:tcPr>
            <w:tcW w:w="3818" w:type="dxa"/>
            <w:vAlign w:val="center"/>
          </w:tcPr>
          <w:p w14:paraId="7284B9B7"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Question</w:t>
            </w:r>
          </w:p>
        </w:tc>
        <w:tc>
          <w:tcPr>
            <w:tcW w:w="1285" w:type="dxa"/>
            <w:vAlign w:val="center"/>
          </w:tcPr>
          <w:p w14:paraId="68D59505"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Response (Yes or No)</w:t>
            </w:r>
          </w:p>
        </w:tc>
        <w:tc>
          <w:tcPr>
            <w:tcW w:w="5670" w:type="dxa"/>
            <w:vAlign w:val="center"/>
          </w:tcPr>
          <w:p w14:paraId="64C2BE40"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Brief explanation</w:t>
            </w:r>
            <w:r w:rsidRPr="004F56E9">
              <w:rPr>
                <w:rFonts w:ascii="Times New Roman" w:hAnsi="Times New Roman" w:cs="Times New Roman"/>
                <w:b/>
                <w:bCs/>
              </w:rPr>
              <w:br/>
              <w:t>(please include reference to source)</w:t>
            </w:r>
          </w:p>
        </w:tc>
        <w:tc>
          <w:tcPr>
            <w:tcW w:w="1701" w:type="dxa"/>
            <w:vAlign w:val="center"/>
          </w:tcPr>
          <w:p w14:paraId="1E098A7F"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Likelihood of enforcement (Low Medium or High)</w:t>
            </w:r>
          </w:p>
        </w:tc>
        <w:tc>
          <w:tcPr>
            <w:tcW w:w="1560" w:type="dxa"/>
            <w:vAlign w:val="center"/>
          </w:tcPr>
          <w:p w14:paraId="6F12FD88" w14:textId="77777777" w:rsidR="00D66F07" w:rsidRPr="004F56E9" w:rsidRDefault="00D66F07" w:rsidP="008836DB">
            <w:pPr>
              <w:jc w:val="center"/>
              <w:rPr>
                <w:rFonts w:ascii="Times New Roman" w:hAnsi="Times New Roman" w:cs="Times New Roman"/>
                <w:b/>
                <w:bCs/>
              </w:rPr>
            </w:pPr>
            <w:r w:rsidRPr="004F56E9">
              <w:rPr>
                <w:rFonts w:ascii="Times New Roman" w:hAnsi="Times New Roman" w:cs="Times New Roman"/>
                <w:b/>
                <w:bCs/>
              </w:rPr>
              <w:t>Further comments (if any)</w:t>
            </w:r>
          </w:p>
        </w:tc>
      </w:tr>
      <w:tr w:rsidR="00D66F07" w:rsidRPr="004F56E9" w14:paraId="15D7ED4C" w14:textId="77777777" w:rsidTr="008836DB">
        <w:tc>
          <w:tcPr>
            <w:tcW w:w="562" w:type="dxa"/>
          </w:tcPr>
          <w:p w14:paraId="6390AB90"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1</w:t>
            </w:r>
          </w:p>
        </w:tc>
        <w:tc>
          <w:tcPr>
            <w:tcW w:w="3818" w:type="dxa"/>
          </w:tcPr>
          <w:p w14:paraId="4012AE0C"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Is KS’ preliminary assessment of what Taiwanese legislation </w:t>
            </w:r>
            <w:proofErr w:type="gramStart"/>
            <w:r w:rsidRPr="004F56E9">
              <w:rPr>
                <w:rFonts w:ascii="Times New Roman" w:hAnsi="Times New Roman" w:cs="Times New Roman"/>
              </w:rPr>
              <w:t>applies</w:t>
            </w:r>
            <w:proofErr w:type="gramEnd"/>
            <w:r w:rsidRPr="004F56E9">
              <w:rPr>
                <w:rFonts w:ascii="Times New Roman" w:hAnsi="Times New Roman" w:cs="Times New Roman"/>
              </w:rPr>
              <w:t xml:space="preserve"> to the data transfer as set out above correct and complete? </w:t>
            </w:r>
          </w:p>
          <w:p w14:paraId="27ABCA11"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If not, please describe any other laws or regulations that might apply to the data transfer. </w:t>
            </w:r>
          </w:p>
        </w:tc>
        <w:tc>
          <w:tcPr>
            <w:tcW w:w="1285" w:type="dxa"/>
          </w:tcPr>
          <w:p w14:paraId="0473C180" w14:textId="77777777" w:rsidR="00D66F07" w:rsidRPr="004F56E9" w:rsidRDefault="00D66F07" w:rsidP="008836DB">
            <w:pPr>
              <w:jc w:val="center"/>
              <w:rPr>
                <w:rFonts w:ascii="Times New Roman" w:eastAsia="PMingLiU" w:hAnsi="Times New Roman" w:cs="Times New Roman"/>
                <w:lang w:eastAsia="zh-TW"/>
              </w:rPr>
            </w:pPr>
            <w:r w:rsidRPr="004F56E9">
              <w:rPr>
                <w:rFonts w:ascii="Times New Roman" w:hAnsi="Times New Roman" w:cs="Times New Roman"/>
              </w:rPr>
              <w:t>No</w:t>
            </w:r>
          </w:p>
        </w:tc>
        <w:tc>
          <w:tcPr>
            <w:tcW w:w="5670" w:type="dxa"/>
          </w:tcPr>
          <w:p w14:paraId="67D2FE60" w14:textId="77777777" w:rsidR="00D66F07" w:rsidRPr="004F56E9" w:rsidRDefault="00D66F07" w:rsidP="00ED5184">
            <w:pPr>
              <w:pStyle w:val="Listeavsnitt"/>
              <w:widowControl w:val="0"/>
              <w:numPr>
                <w:ilvl w:val="0"/>
                <w:numId w:val="2"/>
              </w:numPr>
              <w:overflowPunct w:val="0"/>
              <w:spacing w:line="360" w:lineRule="atLeast"/>
              <w:contextualSpacing w:val="0"/>
              <w:jc w:val="both"/>
              <w:rPr>
                <w:rFonts w:ascii="Times New Roman" w:hAnsi="Times New Roman" w:cs="Times New Roman"/>
              </w:rPr>
            </w:pPr>
            <w:r w:rsidRPr="004F56E9">
              <w:rPr>
                <w:rFonts w:ascii="Times New Roman" w:hAnsi="Times New Roman" w:cs="Times New Roman"/>
              </w:rPr>
              <w:t xml:space="preserve">According to Paragraph 2, Article 51 of the PDPA, and the explanation promulgated by the competent authority (Fa-Lu-Zi No. 10403509750 dated 26 August 2015), </w:t>
            </w:r>
            <w:r w:rsidRPr="004F56E9">
              <w:rPr>
                <w:rFonts w:ascii="Times New Roman" w:hAnsi="Times New Roman" w:cs="Times New Roman"/>
                <w:b/>
                <w:bCs/>
                <w:u w:val="single"/>
              </w:rPr>
              <w:t>the PDPA applies to all collection, processing, and use of personal data occurring within the territory of Taiwan</w:t>
            </w:r>
            <w:r w:rsidRPr="004F56E9">
              <w:rPr>
                <w:rFonts w:ascii="Times New Roman" w:hAnsi="Times New Roman" w:cs="Times New Roman"/>
              </w:rPr>
              <w:t xml:space="preserve">, regardless of whether the data subject in question is located within Taiwan or not. </w:t>
            </w:r>
          </w:p>
          <w:p w14:paraId="24758F87" w14:textId="77777777" w:rsidR="00D66F07" w:rsidRPr="004F56E9" w:rsidRDefault="00D66F07" w:rsidP="00ED5184">
            <w:pPr>
              <w:pStyle w:val="Listeavsnitt"/>
              <w:widowControl w:val="0"/>
              <w:numPr>
                <w:ilvl w:val="0"/>
                <w:numId w:val="2"/>
              </w:numPr>
              <w:overflowPunct w:val="0"/>
              <w:spacing w:line="360" w:lineRule="atLeast"/>
              <w:contextualSpacing w:val="0"/>
              <w:jc w:val="both"/>
              <w:rPr>
                <w:rFonts w:ascii="Times New Roman" w:hAnsi="Times New Roman" w:cs="Times New Roman"/>
              </w:rPr>
            </w:pPr>
            <w:r w:rsidRPr="004F56E9">
              <w:rPr>
                <w:rFonts w:ascii="Times New Roman" w:hAnsi="Times New Roman" w:cs="Times New Roman"/>
              </w:rPr>
              <w:t xml:space="preserve">Furthermore, “processing” in the PDPA refers to the act of recording, inputting, </w:t>
            </w:r>
            <w:r w:rsidRPr="004F56E9">
              <w:rPr>
                <w:rFonts w:ascii="Times New Roman" w:hAnsi="Times New Roman" w:cs="Times New Roman"/>
                <w:b/>
                <w:bCs/>
                <w:u w:val="single"/>
              </w:rPr>
              <w:t>storing</w:t>
            </w:r>
            <w:r w:rsidRPr="004F56E9">
              <w:rPr>
                <w:rFonts w:ascii="Times New Roman" w:hAnsi="Times New Roman" w:cs="Times New Roman"/>
              </w:rPr>
              <w:t xml:space="preserve">, compiling/editing, correcting, duplicating, retrieving, deleting, outputting, connecting, or internally transferring data for the purpose of establishing or using a personal data file, and “use” refers to the act of </w:t>
            </w:r>
            <w:r w:rsidRPr="004F56E9">
              <w:rPr>
                <w:rFonts w:ascii="Times New Roman" w:hAnsi="Times New Roman" w:cs="Times New Roman"/>
                <w:b/>
                <w:bCs/>
                <w:u w:val="single"/>
              </w:rPr>
              <w:t>using personal data via any methods</w:t>
            </w:r>
            <w:r w:rsidRPr="004F56E9">
              <w:rPr>
                <w:rFonts w:ascii="Times New Roman" w:hAnsi="Times New Roman" w:cs="Times New Roman"/>
              </w:rPr>
              <w:t xml:space="preserve"> other than processing. (Article 2 of the PDPA).</w:t>
            </w:r>
          </w:p>
          <w:p w14:paraId="4D10020A" w14:textId="77777777" w:rsidR="00D66F07" w:rsidRPr="004F56E9" w:rsidRDefault="00D66F07" w:rsidP="00ED5184">
            <w:pPr>
              <w:pStyle w:val="Listeavsnitt"/>
              <w:widowControl w:val="0"/>
              <w:numPr>
                <w:ilvl w:val="0"/>
                <w:numId w:val="2"/>
              </w:numPr>
              <w:overflowPunct w:val="0"/>
              <w:spacing w:line="360" w:lineRule="atLeast"/>
              <w:contextualSpacing w:val="0"/>
              <w:jc w:val="both"/>
              <w:rPr>
                <w:rFonts w:ascii="Times New Roman" w:hAnsi="Times New Roman" w:cs="Times New Roman"/>
              </w:rPr>
            </w:pPr>
            <w:r w:rsidRPr="004F56E9">
              <w:rPr>
                <w:rFonts w:ascii="Times New Roman" w:eastAsia="PMingLiU" w:hAnsi="Times New Roman" w:cs="Times New Roman"/>
                <w:lang w:eastAsia="zh-TW"/>
              </w:rPr>
              <w:t xml:space="preserve">As such, in this case, through using GWE, Norwegian users’ personal data may be transferred and stored in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located in Taiwan and may be retransferred back to the EU/EEA from Taiwan. This constitutes processing and use of personal data within the territory of Taiwan, to which the PDPA shall apply. </w:t>
            </w:r>
          </w:p>
          <w:p w14:paraId="7A2B04DC" w14:textId="77777777" w:rsidR="00D66F07" w:rsidRPr="004F56E9" w:rsidRDefault="00D66F07" w:rsidP="00ED5184">
            <w:pPr>
              <w:pStyle w:val="Listeavsnitt"/>
              <w:widowControl w:val="0"/>
              <w:numPr>
                <w:ilvl w:val="0"/>
                <w:numId w:val="2"/>
              </w:numPr>
              <w:overflowPunct w:val="0"/>
              <w:spacing w:line="360" w:lineRule="atLeast"/>
              <w:contextualSpacing w:val="0"/>
              <w:jc w:val="both"/>
              <w:rPr>
                <w:rFonts w:ascii="Times New Roman" w:hAnsi="Times New Roman" w:cs="Times New Roman"/>
              </w:rPr>
            </w:pPr>
            <w:r w:rsidRPr="004F56E9">
              <w:rPr>
                <w:rFonts w:ascii="Times New Roman" w:hAnsi="Times New Roman" w:cs="Times New Roman"/>
              </w:rPr>
              <w:t xml:space="preserve">In addition, Paragraph 2, Article 51 of the PDPA </w:t>
            </w:r>
            <w:r w:rsidRPr="004F56E9">
              <w:rPr>
                <w:rFonts w:ascii="Times New Roman" w:hAnsi="Times New Roman" w:cs="Times New Roman"/>
              </w:rPr>
              <w:lastRenderedPageBreak/>
              <w:t xml:space="preserve">stipulates that the PDPA also applies where an entity collects, processes, or uses the personal data of Taiwan nationals outside the territory of Taiwan. It cannot be ruled out that such “entity” may include a foreign entity established or </w:t>
            </w:r>
            <w:proofErr w:type="spellStart"/>
            <w:r w:rsidRPr="004F56E9">
              <w:rPr>
                <w:rFonts w:ascii="Times New Roman" w:hAnsi="Times New Roman" w:cs="Times New Roman"/>
              </w:rPr>
              <w:t>organised</w:t>
            </w:r>
            <w:proofErr w:type="spellEnd"/>
            <w:r w:rsidRPr="004F56E9">
              <w:rPr>
                <w:rFonts w:ascii="Times New Roman" w:hAnsi="Times New Roman" w:cs="Times New Roman"/>
              </w:rPr>
              <w:t xml:space="preserve"> in any other country than Taiwan. Therefore, even if the processing occurs outside Taiwan, if the personal data processed through GWE includes data of Taiwan nationals (e.g., Taiwanese nationals residing in Norway), the PDPA may still apply.</w:t>
            </w:r>
            <w:r w:rsidRPr="004F56E9">
              <w:rPr>
                <w:rFonts w:ascii="Times New Roman" w:eastAsia="PMingLiU" w:hAnsi="Times New Roman" w:cs="Times New Roman"/>
                <w:lang w:eastAsia="zh-TW"/>
              </w:rPr>
              <w:t xml:space="preserve"> </w:t>
            </w:r>
          </w:p>
        </w:tc>
        <w:tc>
          <w:tcPr>
            <w:tcW w:w="1701" w:type="dxa"/>
          </w:tcPr>
          <w:p w14:paraId="5F6653D9"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lastRenderedPageBreak/>
              <w:t>High</w:t>
            </w:r>
          </w:p>
        </w:tc>
        <w:tc>
          <w:tcPr>
            <w:tcW w:w="1560" w:type="dxa"/>
          </w:tcPr>
          <w:p w14:paraId="73AB8345" w14:textId="77777777" w:rsidR="00D66F07" w:rsidRPr="004F56E9" w:rsidRDefault="00D66F07" w:rsidP="008836DB">
            <w:pPr>
              <w:rPr>
                <w:rFonts w:ascii="Times New Roman" w:hAnsi="Times New Roman" w:cs="Times New Roman"/>
              </w:rPr>
            </w:pPr>
          </w:p>
        </w:tc>
      </w:tr>
      <w:tr w:rsidR="00D66F07" w:rsidRPr="004F56E9" w14:paraId="5A6A6B2D" w14:textId="77777777" w:rsidTr="008836DB">
        <w:tc>
          <w:tcPr>
            <w:tcW w:w="562" w:type="dxa"/>
          </w:tcPr>
          <w:p w14:paraId="17B74092"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2</w:t>
            </w:r>
          </w:p>
        </w:tc>
        <w:tc>
          <w:tcPr>
            <w:tcW w:w="3818" w:type="dxa"/>
          </w:tcPr>
          <w:p w14:paraId="6C34F136"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Is there other general or sector-specific legislation that impacts data protection in the context of education or technology sectors, e.g. for datacenter, server and storage services for personal data? </w:t>
            </w:r>
          </w:p>
        </w:tc>
        <w:tc>
          <w:tcPr>
            <w:tcW w:w="1285" w:type="dxa"/>
          </w:tcPr>
          <w:p w14:paraId="46168C18"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w:t>
            </w:r>
          </w:p>
        </w:tc>
        <w:tc>
          <w:tcPr>
            <w:tcW w:w="5670" w:type="dxa"/>
          </w:tcPr>
          <w:p w14:paraId="6A0948B6" w14:textId="77777777" w:rsidR="00D66F07" w:rsidRPr="004F56E9" w:rsidRDefault="00D66F07" w:rsidP="00ED5184">
            <w:pPr>
              <w:pStyle w:val="Listeavsnitt"/>
              <w:widowControl w:val="0"/>
              <w:numPr>
                <w:ilvl w:val="0"/>
                <w:numId w:val="3"/>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Apart from the legislations mentioned in the RFQ, regulations </w:t>
            </w:r>
            <w:proofErr w:type="spellStart"/>
            <w:r w:rsidRPr="004F56E9">
              <w:rPr>
                <w:rFonts w:ascii="Times New Roman" w:eastAsia="PMingLiU" w:hAnsi="Times New Roman" w:cs="Times New Roman"/>
                <w:lang w:eastAsia="zh-TW"/>
              </w:rPr>
              <w:t>authorised</w:t>
            </w:r>
            <w:proofErr w:type="spellEnd"/>
            <w:r w:rsidRPr="004F56E9">
              <w:rPr>
                <w:rFonts w:ascii="Times New Roman" w:eastAsia="PMingLiU" w:hAnsi="Times New Roman" w:cs="Times New Roman"/>
                <w:lang w:eastAsia="zh-TW"/>
              </w:rPr>
              <w:t xml:space="preserve"> by Article 27 of the PDPA oblige certain data holders to implement security measures to safeguard personal data. For example, according to “Regulations on the Personal Data Security Maintenance and Management in Digital Economy Related Industries” (</w:t>
            </w:r>
            <w:r w:rsidRPr="004F56E9">
              <w:rPr>
                <w:rFonts w:ascii="Times New Roman" w:eastAsia="PMingLiU" w:hAnsi="Times New Roman" w:cs="Times New Roman"/>
                <w:lang w:eastAsia="zh-TW"/>
              </w:rPr>
              <w:t>數位經濟相關產業個人資料檔案安全維護管理辦法</w:t>
            </w:r>
            <w:r w:rsidRPr="004F56E9">
              <w:rPr>
                <w:rFonts w:ascii="Times New Roman" w:eastAsia="PMingLiU" w:hAnsi="Times New Roman" w:cs="Times New Roman"/>
                <w:lang w:eastAsia="zh-TW"/>
              </w:rPr>
              <w:t xml:space="preserve">), which are applicable to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servers, storage services, and relevant industries, managers of such facilities shall implement internal control protocol, among other security measures, to safeguard personal data (please refer to item 8 hereunder).</w:t>
            </w:r>
          </w:p>
          <w:p w14:paraId="01375FB6" w14:textId="77777777" w:rsidR="00D66F07" w:rsidRPr="004F56E9" w:rsidRDefault="00D66F07" w:rsidP="00ED5184">
            <w:pPr>
              <w:pStyle w:val="Listeavsnitt"/>
              <w:widowControl w:val="0"/>
              <w:numPr>
                <w:ilvl w:val="0"/>
                <w:numId w:val="3"/>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Articles 347 of the “Code of Civil Procedure” (</w:t>
            </w:r>
            <w:r w:rsidRPr="004F56E9">
              <w:rPr>
                <w:rFonts w:ascii="Times New Roman" w:eastAsia="PMingLiU" w:hAnsi="Times New Roman" w:cs="Times New Roman"/>
                <w:lang w:eastAsia="zh-TW"/>
              </w:rPr>
              <w:t>民事訴訟法</w:t>
            </w:r>
            <w:r w:rsidRPr="004F56E9">
              <w:rPr>
                <w:rFonts w:ascii="Times New Roman" w:eastAsia="PMingLiU" w:hAnsi="Times New Roman" w:cs="Times New Roman"/>
                <w:lang w:eastAsia="zh-TW"/>
              </w:rPr>
              <w:t xml:space="preserve">) </w:t>
            </w:r>
            <w:r w:rsidRPr="004F56E9">
              <w:rPr>
                <w:rFonts w:ascii="Times New Roman" w:hAnsi="Times New Roman" w:cs="Times New Roman"/>
              </w:rPr>
              <w:t xml:space="preserve">stipulates that the court may order, by a ruling, a third person to submit documents and data in its </w:t>
            </w:r>
            <w:r w:rsidRPr="004F56E9">
              <w:rPr>
                <w:rFonts w:ascii="Times New Roman" w:hAnsi="Times New Roman" w:cs="Times New Roman"/>
              </w:rPr>
              <w:lastRenderedPageBreak/>
              <w:t>possession.</w:t>
            </w:r>
          </w:p>
          <w:p w14:paraId="445F8AAE" w14:textId="77777777" w:rsidR="00D66F07" w:rsidRPr="004F56E9" w:rsidRDefault="00D66F07" w:rsidP="00ED5184">
            <w:pPr>
              <w:pStyle w:val="Listeavsnitt"/>
              <w:widowControl w:val="0"/>
              <w:numPr>
                <w:ilvl w:val="0"/>
                <w:numId w:val="3"/>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Article 47 of the “Law Governing the Legislative Yuan’s Power” (</w:t>
            </w:r>
            <w:r w:rsidRPr="004F56E9">
              <w:rPr>
                <w:rFonts w:ascii="Times New Roman" w:eastAsia="PMingLiU" w:hAnsi="Times New Roman" w:cs="Times New Roman"/>
                <w:lang w:eastAsia="zh-TW"/>
              </w:rPr>
              <w:t>立法院職權行使法</w:t>
            </w:r>
            <w:r w:rsidRPr="004F56E9">
              <w:rPr>
                <w:rFonts w:ascii="Times New Roman" w:eastAsia="PMingLiU" w:hAnsi="Times New Roman" w:cs="Times New Roman"/>
                <w:lang w:eastAsia="zh-TW"/>
              </w:rPr>
              <w:t>), which came into force on 26 June 2024, provides that investigative committees assembled in the Legislative Yuan, which is the legislative body of Taiwan, may demand individuals or enterprises to provide documents and data related to their investigations. Data protection may be impacted in the highly unlikely event that Google is requested to submit or provide relevant data in accordance with above laws.</w:t>
            </w:r>
          </w:p>
        </w:tc>
        <w:tc>
          <w:tcPr>
            <w:tcW w:w="1701" w:type="dxa"/>
          </w:tcPr>
          <w:p w14:paraId="20580C95" w14:textId="77777777" w:rsidR="00D66F07" w:rsidRPr="004F56E9" w:rsidRDefault="00D66F07" w:rsidP="008836DB">
            <w:pPr>
              <w:jc w:val="center"/>
              <w:rPr>
                <w:rFonts w:ascii="Times New Roman" w:eastAsia="PMingLiU" w:hAnsi="Times New Roman" w:cs="Times New Roman"/>
                <w:lang w:eastAsia="zh-TW"/>
              </w:rPr>
            </w:pPr>
            <w:r w:rsidRPr="004F56E9">
              <w:rPr>
                <w:rFonts w:ascii="Times New Roman" w:eastAsia="PMingLiU" w:hAnsi="Times New Roman" w:cs="Times New Roman"/>
                <w:lang w:eastAsia="zh-TW"/>
              </w:rPr>
              <w:lastRenderedPageBreak/>
              <w:t>High</w:t>
            </w:r>
          </w:p>
          <w:p w14:paraId="6CE76720" w14:textId="77777777" w:rsidR="00D66F07" w:rsidRPr="004F56E9" w:rsidRDefault="00D66F07" w:rsidP="008836DB">
            <w:pPr>
              <w:jc w:val="center"/>
              <w:rPr>
                <w:rFonts w:ascii="Times New Roman" w:hAnsi="Times New Roman" w:cs="Times New Roman"/>
                <w:lang w:eastAsia="zh-TW"/>
              </w:rPr>
            </w:pPr>
          </w:p>
          <w:p w14:paraId="046C1CE8" w14:textId="77777777" w:rsidR="00D66F07" w:rsidRPr="004F56E9" w:rsidRDefault="00D66F07" w:rsidP="008836DB">
            <w:pPr>
              <w:jc w:val="center"/>
              <w:rPr>
                <w:rFonts w:ascii="Times New Roman" w:hAnsi="Times New Roman" w:cs="Times New Roman"/>
                <w:lang w:eastAsia="zh-TW"/>
              </w:rPr>
            </w:pPr>
          </w:p>
          <w:p w14:paraId="429DA182" w14:textId="77777777" w:rsidR="00D66F07" w:rsidRPr="004F56E9" w:rsidRDefault="00D66F07" w:rsidP="008836DB">
            <w:pPr>
              <w:jc w:val="center"/>
              <w:rPr>
                <w:rFonts w:ascii="Times New Roman" w:hAnsi="Times New Roman" w:cs="Times New Roman"/>
                <w:lang w:eastAsia="zh-TW"/>
              </w:rPr>
            </w:pPr>
          </w:p>
          <w:p w14:paraId="3449DF07" w14:textId="77777777" w:rsidR="00D66F07" w:rsidRPr="004F56E9" w:rsidRDefault="00D66F07" w:rsidP="008836DB">
            <w:pPr>
              <w:jc w:val="center"/>
              <w:rPr>
                <w:rFonts w:ascii="Times New Roman" w:hAnsi="Times New Roman" w:cs="Times New Roman"/>
                <w:lang w:eastAsia="zh-TW"/>
              </w:rPr>
            </w:pPr>
          </w:p>
          <w:p w14:paraId="10FDF17A" w14:textId="77777777" w:rsidR="00D66F07" w:rsidRPr="004F56E9" w:rsidRDefault="00D66F07" w:rsidP="008836DB">
            <w:pPr>
              <w:jc w:val="center"/>
              <w:rPr>
                <w:rFonts w:ascii="Times New Roman" w:hAnsi="Times New Roman" w:cs="Times New Roman"/>
                <w:lang w:eastAsia="zh-TW"/>
              </w:rPr>
            </w:pPr>
          </w:p>
          <w:p w14:paraId="7925984E" w14:textId="77777777" w:rsidR="00D66F07" w:rsidRPr="004F56E9" w:rsidRDefault="00D66F07" w:rsidP="008836DB">
            <w:pPr>
              <w:jc w:val="center"/>
              <w:rPr>
                <w:rFonts w:ascii="Times New Roman" w:hAnsi="Times New Roman" w:cs="Times New Roman"/>
                <w:lang w:eastAsia="zh-TW"/>
              </w:rPr>
            </w:pPr>
          </w:p>
          <w:p w14:paraId="3250D103" w14:textId="77777777" w:rsidR="00D66F07" w:rsidRPr="004F56E9" w:rsidRDefault="00D66F07" w:rsidP="008836DB">
            <w:pPr>
              <w:jc w:val="center"/>
              <w:rPr>
                <w:rFonts w:ascii="Times New Roman" w:hAnsi="Times New Roman" w:cs="Times New Roman"/>
                <w:lang w:eastAsia="zh-TW"/>
              </w:rPr>
            </w:pPr>
          </w:p>
          <w:p w14:paraId="616F307C" w14:textId="77777777" w:rsidR="00D66F07" w:rsidRPr="004F56E9" w:rsidRDefault="00D66F07" w:rsidP="008836DB">
            <w:pPr>
              <w:jc w:val="center"/>
              <w:rPr>
                <w:rFonts w:ascii="Times New Roman" w:hAnsi="Times New Roman" w:cs="Times New Roman"/>
                <w:lang w:eastAsia="zh-TW"/>
              </w:rPr>
            </w:pPr>
          </w:p>
          <w:p w14:paraId="01A4016F" w14:textId="77777777" w:rsidR="00D66F07" w:rsidRPr="004F56E9" w:rsidRDefault="00D66F07" w:rsidP="008836DB">
            <w:pPr>
              <w:jc w:val="center"/>
              <w:rPr>
                <w:rFonts w:ascii="Times New Roman" w:hAnsi="Times New Roman" w:cs="Times New Roman"/>
                <w:lang w:eastAsia="zh-TW"/>
              </w:rPr>
            </w:pPr>
          </w:p>
          <w:p w14:paraId="0BD7A085" w14:textId="77777777" w:rsidR="00D66F07" w:rsidRPr="004F56E9" w:rsidRDefault="00D66F07" w:rsidP="008836DB">
            <w:pPr>
              <w:jc w:val="center"/>
              <w:rPr>
                <w:rFonts w:ascii="Times New Roman" w:hAnsi="Times New Roman" w:cs="Times New Roman"/>
                <w:lang w:eastAsia="zh-TW"/>
              </w:rPr>
            </w:pPr>
          </w:p>
          <w:p w14:paraId="6A35D3B3" w14:textId="77777777" w:rsidR="00D66F07" w:rsidRPr="004F56E9" w:rsidRDefault="00D66F07" w:rsidP="008836DB">
            <w:pPr>
              <w:jc w:val="center"/>
              <w:rPr>
                <w:rFonts w:ascii="Times New Roman" w:hAnsi="Times New Roman" w:cs="Times New Roman"/>
                <w:lang w:eastAsia="zh-TW"/>
              </w:rPr>
            </w:pPr>
          </w:p>
          <w:p w14:paraId="2E076703" w14:textId="77777777" w:rsidR="00D66F07" w:rsidRPr="004F56E9" w:rsidRDefault="00D66F07" w:rsidP="008836DB">
            <w:pPr>
              <w:jc w:val="center"/>
              <w:rPr>
                <w:rFonts w:ascii="Times New Roman" w:hAnsi="Times New Roman" w:cs="Times New Roman"/>
                <w:lang w:eastAsia="zh-TW"/>
              </w:rPr>
            </w:pPr>
            <w:r w:rsidRPr="004F56E9">
              <w:rPr>
                <w:rFonts w:ascii="Times New Roman" w:hAnsi="Times New Roman" w:cs="Times New Roman"/>
                <w:lang w:eastAsia="zh-TW"/>
              </w:rPr>
              <w:t>Low</w:t>
            </w:r>
          </w:p>
        </w:tc>
        <w:tc>
          <w:tcPr>
            <w:tcW w:w="1560" w:type="dxa"/>
          </w:tcPr>
          <w:p w14:paraId="6D07AC50" w14:textId="77777777" w:rsidR="00D66F07" w:rsidRPr="004F56E9" w:rsidRDefault="00D66F07" w:rsidP="008836DB">
            <w:pPr>
              <w:rPr>
                <w:rFonts w:ascii="Times New Roman" w:hAnsi="Times New Roman" w:cs="Times New Roman"/>
                <w:lang w:eastAsia="zh-TW"/>
              </w:rPr>
            </w:pPr>
          </w:p>
        </w:tc>
      </w:tr>
      <w:tr w:rsidR="00D66F07" w:rsidRPr="004F56E9" w14:paraId="2FCC537F" w14:textId="77777777" w:rsidTr="008836DB">
        <w:tc>
          <w:tcPr>
            <w:tcW w:w="562" w:type="dxa"/>
          </w:tcPr>
          <w:p w14:paraId="3F9E8FC3"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3</w:t>
            </w:r>
          </w:p>
        </w:tc>
        <w:tc>
          <w:tcPr>
            <w:tcW w:w="3818" w:type="dxa"/>
          </w:tcPr>
          <w:p w14:paraId="40FE13B1"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Please consult our assessment of the CSSA above. Is our summary and assessment of the Act accurate based on the context provided by us and your understanding of the data that is stored in Taiwan and the GWE service? </w:t>
            </w:r>
            <w:proofErr w:type="gramStart"/>
            <w:r w:rsidRPr="004F56E9">
              <w:rPr>
                <w:rFonts w:ascii="Times New Roman" w:hAnsi="Times New Roman" w:cs="Times New Roman"/>
              </w:rPr>
              <w:t>In particular, please</w:t>
            </w:r>
            <w:proofErr w:type="gramEnd"/>
            <w:r w:rsidRPr="004F56E9">
              <w:rPr>
                <w:rFonts w:ascii="Times New Roman" w:hAnsi="Times New Roman" w:cs="Times New Roman"/>
              </w:rPr>
              <w:t xml:space="preserve"> advise of any independent control bodies. </w:t>
            </w:r>
          </w:p>
          <w:p w14:paraId="6E463DB2" w14:textId="77777777" w:rsidR="00D66F07" w:rsidRPr="004F56E9" w:rsidRDefault="00D66F07" w:rsidP="008836DB">
            <w:pPr>
              <w:rPr>
                <w:rFonts w:ascii="Times New Roman" w:hAnsi="Times New Roman" w:cs="Times New Roman"/>
              </w:rPr>
            </w:pPr>
          </w:p>
        </w:tc>
        <w:tc>
          <w:tcPr>
            <w:tcW w:w="1285" w:type="dxa"/>
          </w:tcPr>
          <w:p w14:paraId="17B9D20C"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No</w:t>
            </w:r>
          </w:p>
        </w:tc>
        <w:tc>
          <w:tcPr>
            <w:tcW w:w="5670" w:type="dxa"/>
          </w:tcPr>
          <w:p w14:paraId="4EBBDDEA" w14:textId="77777777" w:rsidR="00D66F07" w:rsidRPr="004F56E9" w:rsidRDefault="00D66F07" w:rsidP="00ED5184">
            <w:pPr>
              <w:pStyle w:val="Listeavsnitt"/>
              <w:widowControl w:val="0"/>
              <w:numPr>
                <w:ilvl w:val="0"/>
                <w:numId w:val="3"/>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The CSSA governs communication surveillance conducted for the purposes of criminal investigation and national security. As it cannot be ruled out that Norwegian users of GWE may involve individuals or entities that fall into the definition of “foreign forces” in Article 8, or may be the subject of criminal investigation, the GWE service and relevant data is subject to the CSSA.</w:t>
            </w:r>
          </w:p>
          <w:p w14:paraId="183D45C2" w14:textId="77777777" w:rsidR="00D66F07" w:rsidRPr="004F56E9" w:rsidRDefault="00D66F07" w:rsidP="00ED5184">
            <w:pPr>
              <w:pStyle w:val="Listeavsnitt"/>
              <w:widowControl w:val="0"/>
              <w:numPr>
                <w:ilvl w:val="0"/>
                <w:numId w:val="3"/>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hAnsi="Times New Roman" w:cs="Times New Roman"/>
              </w:rPr>
              <w:t>However,</w:t>
            </w:r>
            <w:r w:rsidRPr="004F56E9">
              <w:rPr>
                <w:rFonts w:ascii="Times New Roman" w:eastAsia="PMingLiU" w:hAnsi="Times New Roman" w:cs="Times New Roman"/>
                <w:lang w:eastAsia="zh-TW"/>
              </w:rPr>
              <w:t xml:space="preserve"> a</w:t>
            </w:r>
            <w:r w:rsidRPr="004F56E9">
              <w:rPr>
                <w:rFonts w:ascii="Times New Roman" w:hAnsi="Times New Roman" w:cs="Times New Roman"/>
              </w:rPr>
              <w:t xml:space="preserve">ccording to a precedent (最高法院106年度台非字第259號判決) of the Supreme Court of Taiwan, which has a de facto binding effect on courts, the CSSA applies to contents of </w:t>
            </w:r>
            <w:r w:rsidRPr="004F56E9">
              <w:rPr>
                <w:rFonts w:ascii="Times New Roman" w:hAnsi="Times New Roman" w:cs="Times New Roman"/>
                <w:b/>
                <w:u w:val="single"/>
              </w:rPr>
              <w:t>ongoing communications and data of communication records</w:t>
            </w:r>
            <w:r w:rsidRPr="004F56E9">
              <w:rPr>
                <w:rFonts w:ascii="Times New Roman" w:hAnsi="Times New Roman" w:cs="Times New Roman"/>
              </w:rPr>
              <w:t xml:space="preserve"> (as defined in Paragraph 1 of Article 3-1, which means </w:t>
            </w:r>
            <w:r w:rsidRPr="004F56E9">
              <w:rPr>
                <w:rFonts w:ascii="Times New Roman" w:hAnsi="Times New Roman" w:cs="Times New Roman"/>
              </w:rPr>
              <w:lastRenderedPageBreak/>
              <w:t xml:space="preserve">telecommunications numbers of the sender and the recipient, time of communication, length of use, address, service type, and mailbox or location information generated by the telecommunications system after the telecommunications user uses the telecommunications services) </w:t>
            </w:r>
            <w:r w:rsidRPr="004F56E9">
              <w:rPr>
                <w:rFonts w:ascii="Times New Roman" w:hAnsi="Times New Roman" w:cs="Times New Roman"/>
                <w:b/>
                <w:u w:val="single"/>
              </w:rPr>
              <w:t>and user information</w:t>
            </w:r>
            <w:r w:rsidRPr="004F56E9">
              <w:rPr>
                <w:rFonts w:ascii="Times New Roman" w:hAnsi="Times New Roman" w:cs="Times New Roman"/>
                <w:u w:val="single"/>
              </w:rPr>
              <w:t xml:space="preserve"> </w:t>
            </w:r>
            <w:r w:rsidRPr="004F56E9">
              <w:rPr>
                <w:rFonts w:ascii="Times New Roman" w:hAnsi="Times New Roman" w:cs="Times New Roman"/>
              </w:rPr>
              <w:t>(as defined in Paragraph 2 of Article 3-1, which means the telecommunications user’s name, identification document number, telecommunications number, and information in the application, for any type of telecommunications service), but not to other data.</w:t>
            </w:r>
            <w:r w:rsidRPr="004F56E9">
              <w:rPr>
                <w:rFonts w:ascii="Times New Roman" w:eastAsia="PMingLiU" w:hAnsi="Times New Roman" w:cs="Times New Roman"/>
                <w:lang w:eastAsia="zh-TW"/>
              </w:rPr>
              <w:t xml:space="preserve"> A search warrant issued in accordance with Article 122 and 128 of the Code of Criminal Procedure will be required to access other data stored in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w:t>
            </w:r>
          </w:p>
          <w:p w14:paraId="01A9DE99" w14:textId="77777777" w:rsidR="00D66F07" w:rsidRPr="004F56E9" w:rsidRDefault="00D66F07" w:rsidP="00ED5184">
            <w:pPr>
              <w:pStyle w:val="Listeavsnitt"/>
              <w:widowControl w:val="0"/>
              <w:numPr>
                <w:ilvl w:val="0"/>
                <w:numId w:val="4"/>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Given its purposes of criminal investigation and national security, the competent authorities of the CSSA are courts, prosecutors’ offices, and the National Security Bureau. However, there is no independent control body specific to the CSSA. An independent data protection authority is being established in Taiwan (please refer to item 6 hereunder).</w:t>
            </w:r>
          </w:p>
          <w:p w14:paraId="6CCD531E" w14:textId="77777777" w:rsidR="00D66F07" w:rsidRPr="004F56E9" w:rsidRDefault="00D66F07" w:rsidP="00ED5184">
            <w:pPr>
              <w:pStyle w:val="Listeavsnitt"/>
              <w:widowControl w:val="0"/>
              <w:numPr>
                <w:ilvl w:val="0"/>
                <w:numId w:val="4"/>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Since communication surveillance is of a covert nature, no immediate relief is provided in the CSSA, however, ex post remedy is available according to Article 19; court decisions are binding for national surveillance and </w:t>
            </w:r>
            <w:r w:rsidRPr="004F56E9">
              <w:rPr>
                <w:rFonts w:ascii="Times New Roman" w:eastAsia="PMingLiU" w:hAnsi="Times New Roman" w:cs="Times New Roman"/>
                <w:lang w:eastAsia="zh-TW"/>
              </w:rPr>
              <w:lastRenderedPageBreak/>
              <w:t>intelligence services.</w:t>
            </w:r>
          </w:p>
        </w:tc>
        <w:tc>
          <w:tcPr>
            <w:tcW w:w="1701" w:type="dxa"/>
          </w:tcPr>
          <w:p w14:paraId="1BFAA74E"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lastRenderedPageBreak/>
              <w:t>Low</w:t>
            </w:r>
          </w:p>
        </w:tc>
        <w:tc>
          <w:tcPr>
            <w:tcW w:w="1560" w:type="dxa"/>
          </w:tcPr>
          <w:p w14:paraId="79F10EA9" w14:textId="77777777" w:rsidR="00D66F07" w:rsidRPr="004F56E9" w:rsidRDefault="00D66F07" w:rsidP="008836DB">
            <w:pPr>
              <w:rPr>
                <w:rFonts w:ascii="Times New Roman" w:hAnsi="Times New Roman" w:cs="Times New Roman"/>
              </w:rPr>
            </w:pPr>
          </w:p>
        </w:tc>
      </w:tr>
      <w:tr w:rsidR="00D66F07" w:rsidRPr="004F56E9" w14:paraId="277A2E87" w14:textId="77777777" w:rsidTr="008836DB">
        <w:tc>
          <w:tcPr>
            <w:tcW w:w="562" w:type="dxa"/>
          </w:tcPr>
          <w:p w14:paraId="4CABEA68"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lastRenderedPageBreak/>
              <w:t>4</w:t>
            </w:r>
          </w:p>
        </w:tc>
        <w:tc>
          <w:tcPr>
            <w:tcW w:w="3818" w:type="dxa"/>
          </w:tcPr>
          <w:p w14:paraId="7A4C6541"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Has the Telecommunications Management Act fully replaced the Telecommunications Act in Taiwan? </w:t>
            </w:r>
          </w:p>
          <w:p w14:paraId="5FD567C5" w14:textId="77777777" w:rsidR="00D66F07" w:rsidRPr="004F56E9" w:rsidRDefault="00D66F07" w:rsidP="008836DB">
            <w:pPr>
              <w:rPr>
                <w:rFonts w:ascii="Times New Roman" w:hAnsi="Times New Roman" w:cs="Times New Roman"/>
              </w:rPr>
            </w:pPr>
          </w:p>
        </w:tc>
        <w:tc>
          <w:tcPr>
            <w:tcW w:w="1285" w:type="dxa"/>
          </w:tcPr>
          <w:p w14:paraId="18FAE5D5"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Yes</w:t>
            </w:r>
          </w:p>
        </w:tc>
        <w:tc>
          <w:tcPr>
            <w:tcW w:w="5670" w:type="dxa"/>
          </w:tcPr>
          <w:p w14:paraId="6C4FDA1E"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The TMA entered into force on </w:t>
            </w:r>
            <w:proofErr w:type="gramStart"/>
            <w:r w:rsidRPr="004F56E9">
              <w:rPr>
                <w:rFonts w:ascii="Times New Roman" w:hAnsi="Times New Roman" w:cs="Times New Roman"/>
              </w:rPr>
              <w:t>1 July 2020, and</w:t>
            </w:r>
            <w:proofErr w:type="gramEnd"/>
            <w:r w:rsidRPr="004F56E9">
              <w:rPr>
                <w:rFonts w:ascii="Times New Roman" w:hAnsi="Times New Roman" w:cs="Times New Roman"/>
              </w:rPr>
              <w:t xml:space="preserve"> had a three-year transition period which ended on 30 June 2023. The TA remains in effect but serves only as the legal basis of certain statutory fee charges and has become irrelevant to data protection and other regulatory matters. The TMA has fully replaced the TA in this regard.</w:t>
            </w:r>
          </w:p>
        </w:tc>
        <w:tc>
          <w:tcPr>
            <w:tcW w:w="1701" w:type="dxa"/>
          </w:tcPr>
          <w:p w14:paraId="4E6FA483"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t>N/A</w:t>
            </w:r>
          </w:p>
        </w:tc>
        <w:tc>
          <w:tcPr>
            <w:tcW w:w="1560" w:type="dxa"/>
          </w:tcPr>
          <w:p w14:paraId="2C0719EC" w14:textId="77777777" w:rsidR="00D66F07" w:rsidRPr="004F56E9" w:rsidRDefault="00D66F07" w:rsidP="008836DB">
            <w:pPr>
              <w:rPr>
                <w:rFonts w:ascii="Times New Roman" w:hAnsi="Times New Roman" w:cs="Times New Roman"/>
              </w:rPr>
            </w:pPr>
          </w:p>
        </w:tc>
      </w:tr>
      <w:tr w:rsidR="00D66F07" w:rsidRPr="004F56E9" w14:paraId="3BC0A05A" w14:textId="77777777" w:rsidTr="008836DB">
        <w:tc>
          <w:tcPr>
            <w:tcW w:w="562" w:type="dxa"/>
          </w:tcPr>
          <w:p w14:paraId="1557C8F0"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5</w:t>
            </w:r>
          </w:p>
        </w:tc>
        <w:tc>
          <w:tcPr>
            <w:tcW w:w="3818" w:type="dxa"/>
          </w:tcPr>
          <w:p w14:paraId="63C45522"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Does Google as a SaaS provider fall within the scope of Taiwanese telecom legislation? </w:t>
            </w:r>
          </w:p>
          <w:p w14:paraId="7E02F129"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Please elaborate on potential consequences for the data subjects' privacy rights. </w:t>
            </w:r>
          </w:p>
        </w:tc>
        <w:tc>
          <w:tcPr>
            <w:tcW w:w="1285" w:type="dxa"/>
          </w:tcPr>
          <w:p w14:paraId="51EA9CBE"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Yes</w:t>
            </w:r>
          </w:p>
        </w:tc>
        <w:tc>
          <w:tcPr>
            <w:tcW w:w="5670" w:type="dxa"/>
          </w:tcPr>
          <w:p w14:paraId="308BFFC3"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It is correct that “telecommunications services” defined in the TA and TMA are limited to public communications services provided through the public switched telecommunications network (“PSTN”) and therefore Google as a SaaS provider does not fall within the scope of the TA and TMA.</w:t>
            </w:r>
          </w:p>
        </w:tc>
        <w:tc>
          <w:tcPr>
            <w:tcW w:w="1701" w:type="dxa"/>
          </w:tcPr>
          <w:p w14:paraId="05DFB469"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t>N/A</w:t>
            </w:r>
          </w:p>
        </w:tc>
        <w:tc>
          <w:tcPr>
            <w:tcW w:w="1560" w:type="dxa"/>
          </w:tcPr>
          <w:p w14:paraId="7218C814" w14:textId="77777777" w:rsidR="00D66F07" w:rsidRPr="004F56E9" w:rsidRDefault="00D66F07" w:rsidP="008836DB">
            <w:pPr>
              <w:rPr>
                <w:rFonts w:ascii="Times New Roman" w:hAnsi="Times New Roman" w:cs="Times New Roman"/>
              </w:rPr>
            </w:pPr>
          </w:p>
        </w:tc>
      </w:tr>
      <w:tr w:rsidR="00D66F07" w:rsidRPr="004F56E9" w14:paraId="743958F9" w14:textId="77777777" w:rsidTr="008836DB">
        <w:tc>
          <w:tcPr>
            <w:tcW w:w="562" w:type="dxa"/>
          </w:tcPr>
          <w:p w14:paraId="67D4648D"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6</w:t>
            </w:r>
          </w:p>
        </w:tc>
        <w:tc>
          <w:tcPr>
            <w:tcW w:w="3818" w:type="dxa"/>
          </w:tcPr>
          <w:p w14:paraId="5A22567A"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Are any significant changes to applicable legislation expected? </w:t>
            </w:r>
          </w:p>
          <w:p w14:paraId="725C7DAE"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If possible, please indicate when these changes will come into force. </w:t>
            </w:r>
          </w:p>
        </w:tc>
        <w:tc>
          <w:tcPr>
            <w:tcW w:w="1285" w:type="dxa"/>
          </w:tcPr>
          <w:p w14:paraId="614E639C"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w:t>
            </w:r>
          </w:p>
        </w:tc>
        <w:tc>
          <w:tcPr>
            <w:tcW w:w="5670" w:type="dxa"/>
          </w:tcPr>
          <w:p w14:paraId="17504AFD" w14:textId="77777777" w:rsidR="00D66F07" w:rsidRPr="004F56E9" w:rsidRDefault="00D66F07" w:rsidP="00ED5184">
            <w:pPr>
              <w:pStyle w:val="Listeavsnitt"/>
              <w:widowControl w:val="0"/>
              <w:numPr>
                <w:ilvl w:val="0"/>
                <w:numId w:val="5"/>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Regarding the PDPA, there is a significant legislative change expected as follows.</w:t>
            </w:r>
          </w:p>
          <w:p w14:paraId="7E59944A" w14:textId="77777777" w:rsidR="00D66F07" w:rsidRPr="004F56E9" w:rsidRDefault="00D66F07" w:rsidP="00ED5184">
            <w:pPr>
              <w:pStyle w:val="Listeavsnitt"/>
              <w:widowControl w:val="0"/>
              <w:numPr>
                <w:ilvl w:val="0"/>
                <w:numId w:val="5"/>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hAnsi="Times New Roman" w:cs="Times New Roman"/>
              </w:rPr>
              <w:t>Currently, Taiwan does not have an independent data protection authority under the PDPA. Nevertheless, a recent amendment to the PDPA, dated 16 May 2023, designates the new Personal Data Protection Commission (“PDPC”) as the independent competent authority for personal data protection (Article 1-1 of the PDPA). Article 1-1 of the PDPA has not been enacted yet, as the PDPC has not been established at the present time. The preparatory office for the PDPC was established on 5 December 2023, and recent news reports suggest that the PDPC is expected to be established by August 2025.</w:t>
            </w:r>
          </w:p>
        </w:tc>
        <w:tc>
          <w:tcPr>
            <w:tcW w:w="1701" w:type="dxa"/>
          </w:tcPr>
          <w:p w14:paraId="4D9AC68E"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t>N/A</w:t>
            </w:r>
          </w:p>
        </w:tc>
        <w:tc>
          <w:tcPr>
            <w:tcW w:w="1560" w:type="dxa"/>
          </w:tcPr>
          <w:p w14:paraId="45C0102D" w14:textId="77777777" w:rsidR="00D66F07" w:rsidRPr="004F56E9" w:rsidRDefault="00D66F07" w:rsidP="008836DB">
            <w:pPr>
              <w:rPr>
                <w:rFonts w:ascii="Times New Roman" w:hAnsi="Times New Roman" w:cs="Times New Roman"/>
              </w:rPr>
            </w:pPr>
          </w:p>
        </w:tc>
      </w:tr>
      <w:tr w:rsidR="00D66F07" w:rsidRPr="004F56E9" w14:paraId="347AF3C5" w14:textId="77777777" w:rsidTr="008836DB">
        <w:tc>
          <w:tcPr>
            <w:tcW w:w="562" w:type="dxa"/>
          </w:tcPr>
          <w:p w14:paraId="5717455D"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7</w:t>
            </w:r>
          </w:p>
        </w:tc>
        <w:tc>
          <w:tcPr>
            <w:tcW w:w="3818" w:type="dxa"/>
          </w:tcPr>
          <w:p w14:paraId="32CCD2D5"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Is a foreign data subject able to enforce their prescribed privacy rights in the </w:t>
            </w:r>
            <w:r w:rsidRPr="004F56E9">
              <w:rPr>
                <w:rFonts w:ascii="Times New Roman" w:hAnsi="Times New Roman" w:cs="Times New Roman"/>
              </w:rPr>
              <w:lastRenderedPageBreak/>
              <w:t xml:space="preserve">jurisdiction under prescribed law, if relevant? </w:t>
            </w:r>
          </w:p>
          <w:p w14:paraId="76C10B3E"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Please also indicate any perceived express hinderances in law, regulation or case law to such data privacy rights enforcement. </w:t>
            </w:r>
          </w:p>
        </w:tc>
        <w:tc>
          <w:tcPr>
            <w:tcW w:w="1285" w:type="dxa"/>
          </w:tcPr>
          <w:p w14:paraId="66D94FDE"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lastRenderedPageBreak/>
              <w:t>-</w:t>
            </w:r>
          </w:p>
        </w:tc>
        <w:tc>
          <w:tcPr>
            <w:tcW w:w="5670" w:type="dxa"/>
          </w:tcPr>
          <w:p w14:paraId="39D9EBB7" w14:textId="77777777" w:rsidR="00D66F07" w:rsidRPr="004F56E9" w:rsidRDefault="00D66F07" w:rsidP="00ED5184">
            <w:pPr>
              <w:pStyle w:val="Listeavsnitt"/>
              <w:widowControl w:val="0"/>
              <w:numPr>
                <w:ilvl w:val="0"/>
                <w:numId w:val="6"/>
              </w:numPr>
              <w:overflowPunct w:val="0"/>
              <w:spacing w:line="360" w:lineRule="atLeast"/>
              <w:contextualSpacing w:val="0"/>
              <w:jc w:val="both"/>
              <w:rPr>
                <w:rFonts w:ascii="Times New Roman" w:eastAsia="PMingLiU" w:hAnsi="Times New Roman" w:cs="Times New Roman"/>
                <w:lang w:eastAsia="zh-TW"/>
              </w:rPr>
            </w:pPr>
            <w:proofErr w:type="gramStart"/>
            <w:r w:rsidRPr="004F56E9">
              <w:rPr>
                <w:rFonts w:ascii="Times New Roman" w:eastAsia="PMingLiU" w:hAnsi="Times New Roman" w:cs="Times New Roman"/>
                <w:lang w:eastAsia="zh-TW"/>
              </w:rPr>
              <w:t>In the event that</w:t>
            </w:r>
            <w:proofErr w:type="gramEnd"/>
            <w:r w:rsidRPr="004F56E9">
              <w:rPr>
                <w:rFonts w:ascii="Times New Roman" w:eastAsia="PMingLiU" w:hAnsi="Times New Roman" w:cs="Times New Roman"/>
                <w:lang w:eastAsia="zh-TW"/>
              </w:rPr>
              <w:t xml:space="preserve"> a data subject, whether Taiwanese or foreign, has its personal data collected, processed, or </w:t>
            </w:r>
            <w:r w:rsidRPr="004F56E9">
              <w:rPr>
                <w:rFonts w:ascii="Times New Roman" w:eastAsia="PMingLiU" w:hAnsi="Times New Roman" w:cs="Times New Roman"/>
                <w:lang w:eastAsia="zh-TW"/>
              </w:rPr>
              <w:lastRenderedPageBreak/>
              <w:t>used within the territory of Taiwan, the PDPA will apply. As such, the data subject may then enforce the privacy rights provided by the PDPA in that jurisdiction.</w:t>
            </w:r>
          </w:p>
          <w:p w14:paraId="78348CD1" w14:textId="77777777" w:rsidR="00D66F07" w:rsidRPr="004F56E9" w:rsidRDefault="00D66F07" w:rsidP="00ED5184">
            <w:pPr>
              <w:pStyle w:val="Listeavsnitt"/>
              <w:widowControl w:val="0"/>
              <w:numPr>
                <w:ilvl w:val="0"/>
                <w:numId w:val="6"/>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In addition, the prescribed privacy rights under the PDPA are as follows: (</w:t>
            </w:r>
            <w:proofErr w:type="spellStart"/>
            <w:r w:rsidRPr="004F56E9">
              <w:rPr>
                <w:rFonts w:ascii="Times New Roman" w:eastAsia="PMingLiU" w:hAnsi="Times New Roman" w:cs="Times New Roman"/>
                <w:lang w:eastAsia="zh-TW"/>
              </w:rPr>
              <w:t>i</w:t>
            </w:r>
            <w:proofErr w:type="spellEnd"/>
            <w:r w:rsidRPr="004F56E9">
              <w:rPr>
                <w:rFonts w:ascii="Times New Roman" w:eastAsia="PMingLiU" w:hAnsi="Times New Roman" w:cs="Times New Roman"/>
                <w:lang w:eastAsia="zh-TW"/>
              </w:rPr>
              <w:t>) the right to make an inquiry regarding and to review his/her personal data; (ii) the right to request a copy of his/her personal data; (iii) the right to supplement or correct his/her personal data; (iv) the right to demand the cessation of the collection, processing, or use of his/her personal data; and (v) the right to erase his/her personal data. Article 3 of the PDPA also provides that such rights shall not be waived or limited contractually in advance, so there are no express hindrances to such data privacy rights enforcement under the PDPA.</w:t>
            </w:r>
          </w:p>
        </w:tc>
        <w:tc>
          <w:tcPr>
            <w:tcW w:w="1701" w:type="dxa"/>
          </w:tcPr>
          <w:p w14:paraId="130B16C1"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lastRenderedPageBreak/>
              <w:t>N/A</w:t>
            </w:r>
          </w:p>
        </w:tc>
        <w:tc>
          <w:tcPr>
            <w:tcW w:w="1560" w:type="dxa"/>
          </w:tcPr>
          <w:p w14:paraId="2B74A216" w14:textId="77777777" w:rsidR="00D66F07" w:rsidRPr="004F56E9" w:rsidRDefault="00D66F07" w:rsidP="008836DB">
            <w:pPr>
              <w:rPr>
                <w:rFonts w:ascii="Times New Roman" w:hAnsi="Times New Roman" w:cs="Times New Roman"/>
              </w:rPr>
            </w:pPr>
          </w:p>
        </w:tc>
      </w:tr>
      <w:tr w:rsidR="00D66F07" w:rsidRPr="004F56E9" w14:paraId="009EA0C1" w14:textId="77777777" w:rsidTr="008836DB">
        <w:tc>
          <w:tcPr>
            <w:tcW w:w="562" w:type="dxa"/>
          </w:tcPr>
          <w:p w14:paraId="6BE694DF"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8</w:t>
            </w:r>
          </w:p>
        </w:tc>
        <w:tc>
          <w:tcPr>
            <w:tcW w:w="3818" w:type="dxa"/>
          </w:tcPr>
          <w:p w14:paraId="07EA13B8" w14:textId="77777777" w:rsidR="00D66F07" w:rsidRPr="004F56E9" w:rsidRDefault="00D66F07" w:rsidP="008836DB">
            <w:pPr>
              <w:rPr>
                <w:rFonts w:ascii="Times New Roman" w:hAnsi="Times New Roman" w:cs="Times New Roman"/>
              </w:rPr>
            </w:pPr>
            <w:proofErr w:type="gramStart"/>
            <w:r w:rsidRPr="004F56E9">
              <w:rPr>
                <w:rFonts w:ascii="Times New Roman" w:hAnsi="Times New Roman" w:cs="Times New Roman"/>
              </w:rPr>
              <w:t>Is</w:t>
            </w:r>
            <w:proofErr w:type="gramEnd"/>
            <w:r w:rsidRPr="004F56E9">
              <w:rPr>
                <w:rFonts w:ascii="Times New Roman" w:hAnsi="Times New Roman" w:cs="Times New Roman"/>
              </w:rPr>
              <w:t xml:space="preserve"> there any security measures assumed to be effective for protection of data processed in Taiwan? </w:t>
            </w:r>
          </w:p>
          <w:p w14:paraId="3A03321E" w14:textId="77777777" w:rsidR="00D66F07" w:rsidRPr="004F56E9" w:rsidRDefault="00D66F07" w:rsidP="008836DB">
            <w:pPr>
              <w:rPr>
                <w:rFonts w:ascii="Times New Roman" w:hAnsi="Times New Roman" w:cs="Times New Roman"/>
              </w:rPr>
            </w:pPr>
            <w:r w:rsidRPr="004F56E9">
              <w:rPr>
                <w:rFonts w:ascii="Times New Roman" w:hAnsi="Times New Roman" w:cs="Times New Roman"/>
              </w:rPr>
              <w:t xml:space="preserve">Please provide a brief overview of industry standards of data security provided in the region, if available. </w:t>
            </w:r>
          </w:p>
        </w:tc>
        <w:tc>
          <w:tcPr>
            <w:tcW w:w="1285" w:type="dxa"/>
          </w:tcPr>
          <w:p w14:paraId="27A66C30" w14:textId="77777777" w:rsidR="00D66F07" w:rsidRPr="004F56E9" w:rsidRDefault="00D66F07" w:rsidP="008836DB">
            <w:pPr>
              <w:jc w:val="center"/>
              <w:rPr>
                <w:rFonts w:ascii="Times New Roman" w:hAnsi="Times New Roman" w:cs="Times New Roman"/>
              </w:rPr>
            </w:pPr>
            <w:r w:rsidRPr="004F56E9">
              <w:rPr>
                <w:rFonts w:ascii="Times New Roman" w:hAnsi="Times New Roman" w:cs="Times New Roman"/>
              </w:rPr>
              <w:t>-</w:t>
            </w:r>
          </w:p>
        </w:tc>
        <w:tc>
          <w:tcPr>
            <w:tcW w:w="5670" w:type="dxa"/>
          </w:tcPr>
          <w:p w14:paraId="36912543" w14:textId="77777777" w:rsidR="00D66F07" w:rsidRPr="004F56E9" w:rsidRDefault="00D66F07" w:rsidP="00ED5184">
            <w:pPr>
              <w:pStyle w:val="Listeavsnitt"/>
              <w:widowControl w:val="0"/>
              <w:numPr>
                <w:ilvl w:val="0"/>
                <w:numId w:val="7"/>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In reference to item 2 above, the “Regulations on the Personal Data Security Maintenance and Management in Digital Economy Related Industries” (</w:t>
            </w:r>
            <w:r w:rsidRPr="004F56E9">
              <w:rPr>
                <w:rFonts w:ascii="Times New Roman" w:eastAsia="PMingLiU" w:hAnsi="Times New Roman" w:cs="Times New Roman"/>
                <w:lang w:eastAsia="zh-TW"/>
              </w:rPr>
              <w:t>數位經濟相關產業個人資料檔案安全維護管理辦法</w:t>
            </w:r>
            <w:r w:rsidRPr="004F56E9">
              <w:rPr>
                <w:rFonts w:ascii="Times New Roman" w:eastAsia="PMingLiU" w:hAnsi="Times New Roman" w:cs="Times New Roman"/>
                <w:lang w:eastAsia="zh-TW"/>
              </w:rPr>
              <w:t xml:space="preserve">) require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servers, storage services, and relevant industries to implement security measures to safeguard personal data files. The security measures provided therein are assumed to be effective for the protection of data processed in Taiwan. In addition, these regulations may apply to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located in Taiwan, including </w:t>
            </w:r>
            <w:r w:rsidRPr="004F56E9">
              <w:rPr>
                <w:rFonts w:ascii="Times New Roman" w:eastAsia="PMingLiU" w:hAnsi="Times New Roman" w:cs="Times New Roman"/>
                <w:lang w:eastAsia="zh-TW"/>
              </w:rPr>
              <w:lastRenderedPageBreak/>
              <w:t xml:space="preserve">Google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storing Norwegian personal data in this regard.</w:t>
            </w:r>
          </w:p>
          <w:p w14:paraId="794F3B2D" w14:textId="77777777" w:rsidR="00D66F07" w:rsidRPr="004F56E9" w:rsidRDefault="00D66F07" w:rsidP="00ED5184">
            <w:pPr>
              <w:pStyle w:val="Listeavsnitt"/>
              <w:widowControl w:val="0"/>
              <w:numPr>
                <w:ilvl w:val="0"/>
                <w:numId w:val="7"/>
              </w:numPr>
              <w:overflowPunct w:val="0"/>
              <w:spacing w:line="360" w:lineRule="atLeast"/>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These regulations provide an industry standard requiring data </w:t>
            </w:r>
            <w:proofErr w:type="spellStart"/>
            <w:r w:rsidRPr="004F56E9">
              <w:rPr>
                <w:rFonts w:ascii="Times New Roman" w:eastAsia="PMingLiU" w:hAnsi="Times New Roman" w:cs="Times New Roman"/>
                <w:lang w:eastAsia="zh-TW"/>
              </w:rPr>
              <w:t>centres</w:t>
            </w:r>
            <w:proofErr w:type="spellEnd"/>
            <w:r w:rsidRPr="004F56E9">
              <w:rPr>
                <w:rFonts w:ascii="Times New Roman" w:eastAsia="PMingLiU" w:hAnsi="Times New Roman" w:cs="Times New Roman"/>
                <w:lang w:eastAsia="zh-TW"/>
              </w:rPr>
              <w:t xml:space="preserve"> and relevant industries located in Taiwan to implement proper security measures to prevent personal data from being stolen, altered, damaged, destroyed, or disclosed as follows.</w:t>
            </w:r>
          </w:p>
          <w:p w14:paraId="6F9E2442"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allocating management personnel and reasonable </w:t>
            </w:r>
            <w:proofErr w:type="gramStart"/>
            <w:r w:rsidRPr="004F56E9">
              <w:rPr>
                <w:rFonts w:ascii="Times New Roman" w:eastAsia="PMingLiU" w:hAnsi="Times New Roman" w:cs="Times New Roman"/>
                <w:lang w:eastAsia="zh-TW"/>
              </w:rPr>
              <w:t>resources;</w:t>
            </w:r>
            <w:proofErr w:type="gramEnd"/>
          </w:p>
          <w:p w14:paraId="20E1DC02"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defining the scope of personal </w:t>
            </w:r>
            <w:proofErr w:type="gramStart"/>
            <w:r w:rsidRPr="004F56E9">
              <w:rPr>
                <w:rFonts w:ascii="Times New Roman" w:eastAsia="PMingLiU" w:hAnsi="Times New Roman" w:cs="Times New Roman"/>
                <w:lang w:eastAsia="zh-TW"/>
              </w:rPr>
              <w:t>data;</w:t>
            </w:r>
            <w:proofErr w:type="gramEnd"/>
          </w:p>
          <w:p w14:paraId="13C1FF16"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establishing a mechanism of risk assessment and management of personal </w:t>
            </w:r>
            <w:proofErr w:type="gramStart"/>
            <w:r w:rsidRPr="004F56E9">
              <w:rPr>
                <w:rFonts w:ascii="Times New Roman" w:eastAsia="PMingLiU" w:hAnsi="Times New Roman" w:cs="Times New Roman"/>
                <w:lang w:eastAsia="zh-TW"/>
              </w:rPr>
              <w:t>data;</w:t>
            </w:r>
            <w:proofErr w:type="gramEnd"/>
          </w:p>
          <w:p w14:paraId="1463B7FA"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establishing a mechanism of preventing, giving notice of, and responding to a data </w:t>
            </w:r>
            <w:proofErr w:type="gramStart"/>
            <w:r w:rsidRPr="004F56E9">
              <w:rPr>
                <w:rFonts w:ascii="Times New Roman" w:eastAsia="PMingLiU" w:hAnsi="Times New Roman" w:cs="Times New Roman"/>
                <w:lang w:eastAsia="zh-TW"/>
              </w:rPr>
              <w:t>breach;</w:t>
            </w:r>
            <w:proofErr w:type="gramEnd"/>
          </w:p>
          <w:p w14:paraId="5095A226"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establishing an internal control procedure for the collection, processing, and use of personal </w:t>
            </w:r>
            <w:proofErr w:type="gramStart"/>
            <w:r w:rsidRPr="004F56E9">
              <w:rPr>
                <w:rFonts w:ascii="Times New Roman" w:eastAsia="PMingLiU" w:hAnsi="Times New Roman" w:cs="Times New Roman"/>
                <w:lang w:eastAsia="zh-TW"/>
              </w:rPr>
              <w:t>data;</w:t>
            </w:r>
            <w:proofErr w:type="gramEnd"/>
          </w:p>
          <w:p w14:paraId="177A6BB7"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confirming restrictions on cross-border transfers, providing notice to data subjects, and </w:t>
            </w:r>
            <w:proofErr w:type="gramStart"/>
            <w:r w:rsidRPr="004F56E9">
              <w:rPr>
                <w:rFonts w:ascii="Times New Roman" w:eastAsia="PMingLiU" w:hAnsi="Times New Roman" w:cs="Times New Roman"/>
                <w:lang w:eastAsia="zh-TW"/>
              </w:rPr>
              <w:t>supervising;</w:t>
            </w:r>
            <w:proofErr w:type="gramEnd"/>
          </w:p>
          <w:p w14:paraId="4E831223"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managing data security and </w:t>
            </w:r>
            <w:proofErr w:type="gramStart"/>
            <w:r w:rsidRPr="004F56E9">
              <w:rPr>
                <w:rFonts w:ascii="Times New Roman" w:eastAsia="PMingLiU" w:hAnsi="Times New Roman" w:cs="Times New Roman"/>
                <w:lang w:eastAsia="zh-TW"/>
              </w:rPr>
              <w:t>personnel;</w:t>
            </w:r>
            <w:proofErr w:type="gramEnd"/>
          </w:p>
          <w:p w14:paraId="155BAD92"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promoting awareness, education, and </w:t>
            </w:r>
            <w:proofErr w:type="gramStart"/>
            <w:r w:rsidRPr="004F56E9">
              <w:rPr>
                <w:rFonts w:ascii="Times New Roman" w:eastAsia="PMingLiU" w:hAnsi="Times New Roman" w:cs="Times New Roman"/>
                <w:lang w:eastAsia="zh-TW"/>
              </w:rPr>
              <w:t>training;</w:t>
            </w:r>
            <w:proofErr w:type="gramEnd"/>
          </w:p>
          <w:p w14:paraId="791E803E"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managing facility </w:t>
            </w:r>
            <w:proofErr w:type="gramStart"/>
            <w:r w:rsidRPr="004F56E9">
              <w:rPr>
                <w:rFonts w:ascii="Times New Roman" w:eastAsia="PMingLiU" w:hAnsi="Times New Roman" w:cs="Times New Roman"/>
                <w:lang w:eastAsia="zh-TW"/>
              </w:rPr>
              <w:t>security;</w:t>
            </w:r>
            <w:proofErr w:type="gramEnd"/>
          </w:p>
          <w:p w14:paraId="222AD24C"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establishing an audit mechanism of data </w:t>
            </w:r>
            <w:proofErr w:type="gramStart"/>
            <w:r w:rsidRPr="004F56E9">
              <w:rPr>
                <w:rFonts w:ascii="Times New Roman" w:eastAsia="PMingLiU" w:hAnsi="Times New Roman" w:cs="Times New Roman"/>
                <w:lang w:eastAsia="zh-TW"/>
              </w:rPr>
              <w:t>security;</w:t>
            </w:r>
            <w:proofErr w:type="gramEnd"/>
          </w:p>
          <w:p w14:paraId="5FD2662E"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keeping records, log files, and relevant evidence; and</w:t>
            </w:r>
          </w:p>
          <w:p w14:paraId="25A6D1DF" w14:textId="77777777" w:rsidR="00D66F07" w:rsidRPr="004F56E9" w:rsidRDefault="00D66F07" w:rsidP="00ED5184">
            <w:pPr>
              <w:pStyle w:val="Listeavsnitt"/>
              <w:widowControl w:val="0"/>
              <w:numPr>
                <w:ilvl w:val="0"/>
                <w:numId w:val="1"/>
              </w:numPr>
              <w:overflowPunct w:val="0"/>
              <w:spacing w:line="360" w:lineRule="atLeast"/>
              <w:ind w:left="880" w:hanging="426"/>
              <w:contextualSpacing w:val="0"/>
              <w:jc w:val="both"/>
              <w:rPr>
                <w:rFonts w:ascii="Times New Roman" w:eastAsia="PMingLiU" w:hAnsi="Times New Roman" w:cs="Times New Roman"/>
                <w:lang w:eastAsia="zh-TW"/>
              </w:rPr>
            </w:pPr>
            <w:r w:rsidRPr="004F56E9">
              <w:rPr>
                <w:rFonts w:ascii="Times New Roman" w:eastAsia="PMingLiU" w:hAnsi="Times New Roman" w:cs="Times New Roman"/>
                <w:lang w:eastAsia="zh-TW"/>
              </w:rPr>
              <w:t xml:space="preserve">implementing integrated and persistent </w:t>
            </w:r>
            <w:r w:rsidRPr="004F56E9">
              <w:rPr>
                <w:rFonts w:ascii="Times New Roman" w:eastAsia="PMingLiU" w:hAnsi="Times New Roman" w:cs="Times New Roman"/>
                <w:lang w:eastAsia="zh-TW"/>
              </w:rPr>
              <w:lastRenderedPageBreak/>
              <w:t>improvements on the security and maintenance of personal data.</w:t>
            </w:r>
          </w:p>
        </w:tc>
        <w:tc>
          <w:tcPr>
            <w:tcW w:w="1701" w:type="dxa"/>
          </w:tcPr>
          <w:p w14:paraId="0BCE25B7" w14:textId="77777777" w:rsidR="00D66F07" w:rsidRPr="004F56E9" w:rsidRDefault="00D66F07" w:rsidP="008836DB">
            <w:pPr>
              <w:jc w:val="center"/>
              <w:rPr>
                <w:rFonts w:ascii="Times New Roman" w:hAnsi="Times New Roman" w:cs="Times New Roman"/>
              </w:rPr>
            </w:pPr>
            <w:r w:rsidRPr="004F56E9">
              <w:rPr>
                <w:rFonts w:ascii="Times New Roman" w:eastAsia="PMingLiU" w:hAnsi="Times New Roman" w:cs="Times New Roman"/>
                <w:lang w:eastAsia="zh-TW"/>
              </w:rPr>
              <w:lastRenderedPageBreak/>
              <w:t>N/A</w:t>
            </w:r>
          </w:p>
        </w:tc>
        <w:tc>
          <w:tcPr>
            <w:tcW w:w="1560" w:type="dxa"/>
          </w:tcPr>
          <w:p w14:paraId="7E899ED0" w14:textId="77777777" w:rsidR="00D66F07" w:rsidRPr="004F56E9" w:rsidRDefault="00D66F07" w:rsidP="008836DB">
            <w:pPr>
              <w:rPr>
                <w:rFonts w:ascii="Times New Roman" w:hAnsi="Times New Roman" w:cs="Times New Roman"/>
              </w:rPr>
            </w:pPr>
          </w:p>
        </w:tc>
      </w:tr>
    </w:tbl>
    <w:p w14:paraId="0BBB85E3" w14:textId="54E966D3" w:rsidR="00D66F07" w:rsidRPr="004F56E9" w:rsidRDefault="00D66F07" w:rsidP="00FF3E35">
      <w:pPr>
        <w:rPr>
          <w:lang w:val="en-US"/>
        </w:rPr>
      </w:pPr>
    </w:p>
    <w:sectPr w:rsidR="00D66F07" w:rsidRPr="004F56E9" w:rsidSect="00D66F07">
      <w:pgSz w:w="16838" w:h="11906"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8C14D" w14:textId="77777777" w:rsidR="00C72E78" w:rsidRPr="00EE32B6" w:rsidRDefault="00C72E78" w:rsidP="00F57C3D">
      <w:pPr>
        <w:spacing w:after="0" w:line="240" w:lineRule="auto"/>
      </w:pPr>
      <w:r w:rsidRPr="00EE32B6">
        <w:separator/>
      </w:r>
    </w:p>
  </w:endnote>
  <w:endnote w:type="continuationSeparator" w:id="0">
    <w:p w14:paraId="24AEA69F" w14:textId="77777777" w:rsidR="00C72E78" w:rsidRPr="00EE32B6" w:rsidRDefault="00C72E78" w:rsidP="00F57C3D">
      <w:pPr>
        <w:spacing w:after="0" w:line="240" w:lineRule="auto"/>
      </w:pPr>
      <w:r w:rsidRPr="00EE32B6">
        <w:continuationSeparator/>
      </w:r>
    </w:p>
  </w:endnote>
  <w:endnote w:type="continuationNotice" w:id="1">
    <w:p w14:paraId="7D2FBE84" w14:textId="77777777" w:rsidR="00C72E78" w:rsidRPr="00EE32B6" w:rsidRDefault="00C72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120679"/>
      <w:docPartObj>
        <w:docPartGallery w:val="Page Numbers (Bottom of Page)"/>
        <w:docPartUnique/>
      </w:docPartObj>
    </w:sdtPr>
    <w:sdtContent>
      <w:p w14:paraId="4D8BAF6B" w14:textId="359F53EF" w:rsidR="00D66F07" w:rsidRDefault="00D66F07">
        <w:pPr>
          <w:pStyle w:val="Bunntekst"/>
          <w:jc w:val="right"/>
        </w:pPr>
        <w:r>
          <w:fldChar w:fldCharType="begin"/>
        </w:r>
        <w:r>
          <w:instrText>PAGE   \* MERGEFORMAT</w:instrText>
        </w:r>
        <w:r>
          <w:fldChar w:fldCharType="separate"/>
        </w:r>
        <w:r>
          <w:t>2</w:t>
        </w:r>
        <w:r>
          <w:fldChar w:fldCharType="end"/>
        </w:r>
      </w:p>
    </w:sdtContent>
  </w:sdt>
  <w:p w14:paraId="14E250ED" w14:textId="77777777" w:rsidR="00D66F07" w:rsidRDefault="00D66F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E513" w14:textId="77777777" w:rsidR="00C72E78" w:rsidRPr="00EE32B6" w:rsidRDefault="00C72E78" w:rsidP="00F57C3D">
      <w:pPr>
        <w:spacing w:after="0" w:line="240" w:lineRule="auto"/>
      </w:pPr>
      <w:r w:rsidRPr="00EE32B6">
        <w:separator/>
      </w:r>
    </w:p>
  </w:footnote>
  <w:footnote w:type="continuationSeparator" w:id="0">
    <w:p w14:paraId="15864992" w14:textId="77777777" w:rsidR="00C72E78" w:rsidRPr="00EE32B6" w:rsidRDefault="00C72E78" w:rsidP="00F57C3D">
      <w:pPr>
        <w:spacing w:after="0" w:line="240" w:lineRule="auto"/>
      </w:pPr>
      <w:r w:rsidRPr="00EE32B6">
        <w:continuationSeparator/>
      </w:r>
    </w:p>
  </w:footnote>
  <w:footnote w:type="continuationNotice" w:id="1">
    <w:p w14:paraId="1C191650" w14:textId="77777777" w:rsidR="00C72E78" w:rsidRPr="00EE32B6" w:rsidRDefault="00C72E78">
      <w:pPr>
        <w:spacing w:after="0" w:line="240" w:lineRule="auto"/>
      </w:pPr>
    </w:p>
  </w:footnote>
  <w:footnote w:id="2">
    <w:p w14:paraId="78F4FEC8" w14:textId="0C3889B9" w:rsidR="00F633AD" w:rsidRPr="00F633AD" w:rsidRDefault="00F633AD">
      <w:pPr>
        <w:pStyle w:val="Fotnotetekst"/>
        <w:rPr>
          <w:lang w:val="en-US"/>
        </w:rPr>
      </w:pPr>
      <w:r>
        <w:rPr>
          <w:rStyle w:val="Fotnotereferanse"/>
        </w:rPr>
        <w:footnoteRef/>
      </w:r>
      <w:r>
        <w:t xml:space="preserve"> </w:t>
      </w:r>
      <w:hyperlink r:id="rId1" w:history="1">
        <w:r w:rsidR="00344AB7" w:rsidRPr="00B04BD1">
          <w:rPr>
            <w:rStyle w:val="Hyperkobling"/>
          </w:rPr>
          <w:t>https://www.dataguidance.com/</w:t>
        </w:r>
      </w:hyperlink>
      <w:r w:rsidR="00344AB7">
        <w:t xml:space="preserve"> </w:t>
      </w:r>
    </w:p>
  </w:footnote>
  <w:footnote w:id="3">
    <w:p w14:paraId="01BEA39B" w14:textId="4487FC15" w:rsidR="00B95005" w:rsidRPr="00B95005" w:rsidRDefault="00B95005">
      <w:pPr>
        <w:pStyle w:val="Fotnotetekst"/>
        <w:rPr>
          <w:lang w:val="en-US"/>
        </w:rPr>
      </w:pPr>
      <w:r>
        <w:rPr>
          <w:rStyle w:val="Fotnotereferanse"/>
        </w:rPr>
        <w:footnoteRef/>
      </w:r>
      <w:r>
        <w:t xml:space="preserve"> </w:t>
      </w:r>
      <w:hyperlink r:id="rId2" w:history="1">
        <w:r w:rsidR="00174FDF" w:rsidRPr="00FA1007">
          <w:rPr>
            <w:rStyle w:val="Hyperkobling"/>
            <w:lang w:val="en-GB"/>
          </w:rPr>
          <w:t>https://transparency.tahr.org.tw/TITR_Report_2015_en.pdf</w:t>
        </w:r>
      </w:hyperlink>
    </w:p>
  </w:footnote>
  <w:footnote w:id="4">
    <w:p w14:paraId="63D38D16" w14:textId="2E0D19B3" w:rsidR="00AF7A11" w:rsidRPr="00AF7A11" w:rsidRDefault="00AF7A11">
      <w:pPr>
        <w:pStyle w:val="Fotnotetekst"/>
        <w:rPr>
          <w:lang w:val="en-US"/>
        </w:rPr>
      </w:pPr>
      <w:r>
        <w:rPr>
          <w:rStyle w:val="Fotnotereferanse"/>
        </w:rPr>
        <w:footnoteRef/>
      </w:r>
      <w:r>
        <w:t xml:space="preserve"> </w:t>
      </w:r>
      <w:hyperlink r:id="rId3" w:history="1">
        <w:r w:rsidR="00B12970" w:rsidRPr="007F7FB4">
          <w:rPr>
            <w:rStyle w:val="Hyperkobling"/>
            <w:lang w:val="en-GB"/>
          </w:rPr>
          <w:t>https://law.moj.gov.tw/Eng/LawClass/LawAll.aspx?PCode=I0050021</w:t>
        </w:r>
      </w:hyperlink>
      <w:r w:rsidR="00B12970" w:rsidRPr="007F7FB4">
        <w:rPr>
          <w:lang w:val="en-GB"/>
        </w:rPr>
        <w:t xml:space="preserve">, </w:t>
      </w:r>
      <w:r w:rsidR="00B12970">
        <w:rPr>
          <w:lang w:val="en-GB"/>
        </w:rPr>
        <w:t>article</w:t>
      </w:r>
      <w:r w:rsidR="00B12970" w:rsidRPr="007F7FB4">
        <w:rPr>
          <w:lang w:val="en-GB"/>
        </w:rPr>
        <w:t xml:space="preserve"> 1</w:t>
      </w:r>
    </w:p>
  </w:footnote>
  <w:footnote w:id="5">
    <w:p w14:paraId="235EF4D6" w14:textId="70AEBCFA" w:rsidR="00BB0668" w:rsidRPr="00BB0668" w:rsidRDefault="00BB0668">
      <w:pPr>
        <w:pStyle w:val="Fotnotetekst"/>
        <w:rPr>
          <w:lang w:val="en-US"/>
        </w:rPr>
      </w:pPr>
      <w:r>
        <w:rPr>
          <w:rStyle w:val="Fotnotereferanse"/>
        </w:rPr>
        <w:footnoteRef/>
      </w:r>
      <w:r>
        <w:t xml:space="preserve"> </w:t>
      </w:r>
      <w:hyperlink r:id="rId4" w:history="1">
        <w:r w:rsidR="00B12970" w:rsidRPr="007F7FB4">
          <w:rPr>
            <w:rStyle w:val="Hyperkobling"/>
            <w:lang w:val="en-GB"/>
          </w:rPr>
          <w:t>https://law.moj.gov.tw/Eng/LawClass/LawAll.aspx?PCode=I0050021</w:t>
        </w:r>
      </w:hyperlink>
      <w:r w:rsidR="00B12970" w:rsidRPr="007F7FB4">
        <w:rPr>
          <w:lang w:val="en-GB"/>
        </w:rPr>
        <w:t xml:space="preserve">, </w:t>
      </w:r>
      <w:r w:rsidR="00B12970">
        <w:rPr>
          <w:lang w:val="en-GB"/>
        </w:rPr>
        <w:t>article</w:t>
      </w:r>
      <w:r w:rsidR="00B12970" w:rsidRPr="007F7FB4">
        <w:rPr>
          <w:lang w:val="en-GB"/>
        </w:rPr>
        <w:t xml:space="preserve"> </w:t>
      </w:r>
      <w:r w:rsidR="00B12970">
        <w:rPr>
          <w:lang w:val="en-GB"/>
        </w:rPr>
        <w:t>41, paragraph 2</w:t>
      </w:r>
    </w:p>
  </w:footnote>
  <w:footnote w:id="6">
    <w:p w14:paraId="152B5152" w14:textId="4A4864EC" w:rsidR="002B7D04" w:rsidRPr="002B7D04" w:rsidRDefault="002B7D04">
      <w:pPr>
        <w:pStyle w:val="Fotnotetekst"/>
        <w:rPr>
          <w:lang w:val="en-US"/>
        </w:rPr>
      </w:pPr>
      <w:r>
        <w:rPr>
          <w:rStyle w:val="Fotnotereferanse"/>
        </w:rPr>
        <w:footnoteRef/>
      </w:r>
      <w:r>
        <w:t xml:space="preserve"> </w:t>
      </w:r>
      <w:hyperlink r:id="rId5" w:history="1">
        <w:r w:rsidR="00CD3316" w:rsidRPr="00EE32B6">
          <w:rPr>
            <w:rStyle w:val="Hyperkobling"/>
          </w:rPr>
          <w:t>https://law.moj.gov.tw/Eng/LawClass/LawAll.aspx?PCode=I0050021</w:t>
        </w:r>
      </w:hyperlink>
    </w:p>
  </w:footnote>
  <w:footnote w:id="7">
    <w:p w14:paraId="0D597CBD" w14:textId="0EE667FE" w:rsidR="002B7D04" w:rsidRPr="002B7D04" w:rsidRDefault="002B7D04">
      <w:pPr>
        <w:pStyle w:val="Fotnotetekst"/>
        <w:rPr>
          <w:lang w:val="en-US"/>
        </w:rPr>
      </w:pPr>
      <w:r>
        <w:rPr>
          <w:rStyle w:val="Fotnotereferanse"/>
        </w:rPr>
        <w:footnoteRef/>
      </w:r>
      <w:r>
        <w:t xml:space="preserve"> </w:t>
      </w:r>
      <w:r w:rsidR="00D307A5" w:rsidRPr="00D307A5">
        <w:t xml:space="preserve">For </w:t>
      </w:r>
      <w:proofErr w:type="spellStart"/>
      <w:r w:rsidR="00D307A5">
        <w:t>principles</w:t>
      </w:r>
      <w:proofErr w:type="spellEnd"/>
      <w:r w:rsidR="00D307A5" w:rsidRPr="00D307A5">
        <w:t xml:space="preserve"> </w:t>
      </w:r>
      <w:r w:rsidR="00D307A5">
        <w:t xml:space="preserve">and </w:t>
      </w:r>
      <w:proofErr w:type="spellStart"/>
      <w:r w:rsidR="00D307A5">
        <w:t>rights</w:t>
      </w:r>
      <w:proofErr w:type="spellEnd"/>
      <w:r w:rsidR="00D307A5">
        <w:t xml:space="preserve">, </w:t>
      </w:r>
      <w:proofErr w:type="spellStart"/>
      <w:r w:rsidR="00D307A5">
        <w:t>see</w:t>
      </w:r>
      <w:proofErr w:type="spellEnd"/>
      <w:r w:rsidR="00D307A5">
        <w:t xml:space="preserve"> </w:t>
      </w:r>
      <w:proofErr w:type="spellStart"/>
      <w:r w:rsidR="00D307A5">
        <w:t>articles</w:t>
      </w:r>
      <w:proofErr w:type="spellEnd"/>
      <w:r w:rsidR="00D307A5">
        <w:t xml:space="preserve"> </w:t>
      </w:r>
      <w:r w:rsidR="00D307A5" w:rsidRPr="00D307A5">
        <w:t xml:space="preserve">3, 5, 6, 8, 9, 10, 11, 18 </w:t>
      </w:r>
      <w:r w:rsidR="00D307A5">
        <w:t>and</w:t>
      </w:r>
      <w:r w:rsidR="00D307A5" w:rsidRPr="00D307A5">
        <w:t xml:space="preserve"> 19.</w:t>
      </w:r>
    </w:p>
  </w:footnote>
  <w:footnote w:id="8">
    <w:p w14:paraId="572AEF23" w14:textId="49ADF1BD" w:rsidR="000F6B0C" w:rsidRPr="00274F38" w:rsidRDefault="000F6B0C">
      <w:pPr>
        <w:pStyle w:val="Fotnotetekst"/>
        <w:rPr>
          <w:lang w:val="en-GB"/>
        </w:rPr>
      </w:pPr>
      <w:r>
        <w:rPr>
          <w:rStyle w:val="Fotnotereferanse"/>
        </w:rPr>
        <w:footnoteRef/>
      </w:r>
      <w:r>
        <w:t xml:space="preserve"> </w:t>
      </w:r>
      <w:hyperlink r:id="rId6" w:history="1">
        <w:r w:rsidR="00274F38" w:rsidRPr="00274F38">
          <w:rPr>
            <w:rStyle w:val="Hyperkobling"/>
            <w:lang w:val="en-GB"/>
          </w:rPr>
          <w:t xml:space="preserve">Taiwan - Data Protection Overview | Guidance Note | </w:t>
        </w:r>
        <w:proofErr w:type="spellStart"/>
        <w:r w:rsidR="00274F38" w:rsidRPr="00274F38">
          <w:rPr>
            <w:rStyle w:val="Hyperkobling"/>
            <w:lang w:val="en-GB"/>
          </w:rPr>
          <w:t>DataGuidance</w:t>
        </w:r>
        <w:proofErr w:type="spellEnd"/>
      </w:hyperlink>
      <w:r w:rsidR="00274F38" w:rsidRPr="00274F38">
        <w:rPr>
          <w:lang w:val="en-GB"/>
        </w:rPr>
        <w:t xml:space="preserve">, </w:t>
      </w:r>
      <w:r w:rsidR="00274F38">
        <w:rPr>
          <w:lang w:val="en-GB"/>
        </w:rPr>
        <w:t>section</w:t>
      </w:r>
      <w:r w:rsidR="00274F38" w:rsidRPr="00274F38">
        <w:rPr>
          <w:lang w:val="en-GB"/>
        </w:rPr>
        <w:t xml:space="preserve"> 1.1, 3.1</w:t>
      </w:r>
    </w:p>
  </w:footnote>
  <w:footnote w:id="9">
    <w:p w14:paraId="59418F78" w14:textId="2816A0F1" w:rsidR="00AB6782" w:rsidRPr="00AB6782" w:rsidRDefault="00AB6782">
      <w:pPr>
        <w:pStyle w:val="Fotnotetekst"/>
        <w:rPr>
          <w:lang w:val="en-US"/>
        </w:rPr>
      </w:pPr>
      <w:r>
        <w:rPr>
          <w:rStyle w:val="Fotnotereferanse"/>
        </w:rPr>
        <w:footnoteRef/>
      </w:r>
      <w:r>
        <w:t xml:space="preserve"> </w:t>
      </w:r>
      <w:hyperlink r:id="rId7" w:history="1">
        <w:r w:rsidR="00274F38" w:rsidRPr="00274F38">
          <w:rPr>
            <w:rStyle w:val="Hyperkobling"/>
            <w:lang w:val="en-GB"/>
          </w:rPr>
          <w:t xml:space="preserve">Taiwan - Data Protection Overview | Guidance Note | </w:t>
        </w:r>
        <w:proofErr w:type="spellStart"/>
        <w:r w:rsidR="00274F38" w:rsidRPr="00274F38">
          <w:rPr>
            <w:rStyle w:val="Hyperkobling"/>
            <w:lang w:val="en-GB"/>
          </w:rPr>
          <w:t>DataGuidance</w:t>
        </w:r>
        <w:proofErr w:type="spellEnd"/>
      </w:hyperlink>
      <w:r w:rsidR="00274F38" w:rsidRPr="00274F38">
        <w:rPr>
          <w:lang w:val="en-GB"/>
        </w:rPr>
        <w:t xml:space="preserve">, </w:t>
      </w:r>
      <w:r w:rsidR="00274F38">
        <w:rPr>
          <w:lang w:val="en-GB"/>
        </w:rPr>
        <w:t>section</w:t>
      </w:r>
      <w:r w:rsidR="00274F38" w:rsidRPr="00274F38">
        <w:rPr>
          <w:lang w:val="en-GB"/>
        </w:rPr>
        <w:t xml:space="preserve"> 1.1</w:t>
      </w:r>
    </w:p>
  </w:footnote>
  <w:footnote w:id="10">
    <w:p w14:paraId="4444DDD8" w14:textId="31E2AD28" w:rsidR="00AB6782" w:rsidRPr="00AB6782" w:rsidRDefault="00AB6782">
      <w:pPr>
        <w:pStyle w:val="Fotnotetekst"/>
        <w:rPr>
          <w:lang w:val="en-US"/>
        </w:rPr>
      </w:pPr>
      <w:r>
        <w:rPr>
          <w:rStyle w:val="Fotnotereferanse"/>
        </w:rPr>
        <w:footnoteRef/>
      </w:r>
      <w:r>
        <w:t xml:space="preserve"> </w:t>
      </w:r>
      <w:r w:rsidR="004568F2">
        <w:t>Se note 5</w:t>
      </w:r>
    </w:p>
  </w:footnote>
  <w:footnote w:id="11">
    <w:p w14:paraId="67115336" w14:textId="0343370C" w:rsidR="00AB6782" w:rsidRPr="00AB6782" w:rsidRDefault="00AB6782">
      <w:pPr>
        <w:pStyle w:val="Fotnotetekst"/>
        <w:rPr>
          <w:lang w:val="en-US"/>
        </w:rPr>
      </w:pPr>
      <w:r>
        <w:rPr>
          <w:rStyle w:val="Fotnotereferanse"/>
        </w:rPr>
        <w:footnoteRef/>
      </w:r>
      <w:r>
        <w:t xml:space="preserve"> </w:t>
      </w:r>
      <w:r w:rsidR="004568F2">
        <w:t>Se note 5</w:t>
      </w:r>
    </w:p>
  </w:footnote>
  <w:footnote w:id="12">
    <w:p w14:paraId="6F87569B" w14:textId="09B20DD3" w:rsidR="00F67B77" w:rsidRPr="00F67B77" w:rsidRDefault="00F67B77">
      <w:pPr>
        <w:pStyle w:val="Fotnotetekst"/>
        <w:rPr>
          <w:lang w:val="en-US"/>
        </w:rPr>
      </w:pPr>
      <w:r>
        <w:rPr>
          <w:rStyle w:val="Fotnotereferanse"/>
        </w:rPr>
        <w:footnoteRef/>
      </w:r>
      <w:r>
        <w:t xml:space="preserve"> </w:t>
      </w:r>
      <w:r w:rsidR="00657949" w:rsidRPr="00657949">
        <w:t>Se</w:t>
      </w:r>
      <w:r w:rsidR="00657949">
        <w:t>e</w:t>
      </w:r>
      <w:r w:rsidR="00657949" w:rsidRPr="00657949">
        <w:t xml:space="preserve"> note 6, </w:t>
      </w:r>
      <w:proofErr w:type="spellStart"/>
      <w:r w:rsidR="00657949">
        <w:t>article</w:t>
      </w:r>
      <w:proofErr w:type="spellEnd"/>
      <w:r w:rsidR="00657949">
        <w:t xml:space="preserve"> </w:t>
      </w:r>
      <w:r w:rsidR="00657949" w:rsidRPr="00657949">
        <w:t xml:space="preserve">5 </w:t>
      </w:r>
      <w:r w:rsidR="00657949">
        <w:t xml:space="preserve">and </w:t>
      </w:r>
      <w:r w:rsidR="00657949" w:rsidRPr="00657949">
        <w:t>6.</w:t>
      </w:r>
    </w:p>
  </w:footnote>
  <w:footnote w:id="13">
    <w:p w14:paraId="06A5DBDC" w14:textId="5B27F4B2" w:rsidR="00C85351" w:rsidRPr="00C85351" w:rsidRDefault="00C85351">
      <w:pPr>
        <w:pStyle w:val="Fotnotetekst"/>
        <w:rPr>
          <w:lang w:val="en-US"/>
        </w:rPr>
      </w:pPr>
      <w:r>
        <w:rPr>
          <w:rStyle w:val="Fotnotereferanse"/>
        </w:rPr>
        <w:footnoteRef/>
      </w:r>
      <w:r>
        <w:t xml:space="preserve"> </w:t>
      </w:r>
      <w:hyperlink r:id="rId8" w:history="1">
        <w:r w:rsidR="00DE2E3E" w:rsidRPr="00DE2E3E">
          <w:rPr>
            <w:rStyle w:val="Hyperkobling"/>
          </w:rPr>
          <w:t>https://www.leeandli.com/EN/NewslettersDetail/6496.htm</w:t>
        </w:r>
      </w:hyperlink>
      <w:r w:rsidR="00DE2E3E" w:rsidRPr="00DE2E3E">
        <w:t xml:space="preserve"> </w:t>
      </w:r>
      <w:r w:rsidR="00DE2E3E">
        <w:t>and</w:t>
      </w:r>
      <w:r w:rsidR="00DE2E3E" w:rsidRPr="00DE2E3E">
        <w:t xml:space="preserve"> </w:t>
      </w:r>
      <w:hyperlink r:id="rId9" w:history="1">
        <w:r w:rsidR="00DE2E3E" w:rsidRPr="00DE2E3E">
          <w:rPr>
            <w:rStyle w:val="Hyperkobling"/>
          </w:rPr>
          <w:t>https://freedomhouse.org/country/taiwan/freedom-net/2021</w:t>
        </w:r>
      </w:hyperlink>
      <w:r w:rsidR="00DE2E3E" w:rsidRPr="00DE2E3E">
        <w:t xml:space="preserve"> </w:t>
      </w:r>
      <w:proofErr w:type="spellStart"/>
      <w:r w:rsidR="00DE2E3E">
        <w:t>about</w:t>
      </w:r>
      <w:proofErr w:type="spellEnd"/>
      <w:r w:rsidR="00DE2E3E">
        <w:t xml:space="preserve"> </w:t>
      </w:r>
      <w:proofErr w:type="spellStart"/>
      <w:r w:rsidR="00DE2E3E">
        <w:t>how</w:t>
      </w:r>
      <w:proofErr w:type="spellEnd"/>
      <w:r w:rsidR="00DE2E3E">
        <w:t xml:space="preserve"> </w:t>
      </w:r>
      <w:proofErr w:type="spellStart"/>
      <w:r w:rsidR="00DE2E3E">
        <w:t>the</w:t>
      </w:r>
      <w:proofErr w:type="spellEnd"/>
      <w:r w:rsidR="00DE2E3E">
        <w:t xml:space="preserve"> </w:t>
      </w:r>
      <w:r w:rsidR="00DE2E3E" w:rsidRPr="00DE2E3E">
        <w:t xml:space="preserve">TMA </w:t>
      </w:r>
      <w:proofErr w:type="spellStart"/>
      <w:r w:rsidR="00DE2E3E">
        <w:t>replaces</w:t>
      </w:r>
      <w:proofErr w:type="spellEnd"/>
      <w:r w:rsidR="00DE2E3E" w:rsidRPr="00DE2E3E">
        <w:t xml:space="preserve"> </w:t>
      </w:r>
      <w:proofErr w:type="spellStart"/>
      <w:r w:rsidR="00DE2E3E">
        <w:t>the</w:t>
      </w:r>
      <w:proofErr w:type="spellEnd"/>
      <w:r w:rsidR="00DE2E3E">
        <w:t xml:space="preserve"> </w:t>
      </w:r>
      <w:r w:rsidR="00DE2E3E" w:rsidRPr="00DE2E3E">
        <w:t>TA.</w:t>
      </w:r>
    </w:p>
  </w:footnote>
  <w:footnote w:id="14">
    <w:p w14:paraId="6C2AD470" w14:textId="318D7EF3" w:rsidR="00C85351" w:rsidRPr="00C85351" w:rsidRDefault="00C85351">
      <w:pPr>
        <w:pStyle w:val="Fotnotetekst"/>
        <w:rPr>
          <w:lang w:val="en-US"/>
        </w:rPr>
      </w:pPr>
      <w:r>
        <w:rPr>
          <w:rStyle w:val="Fotnotereferanse"/>
        </w:rPr>
        <w:footnoteRef/>
      </w:r>
      <w:r>
        <w:t xml:space="preserve"> </w:t>
      </w:r>
      <w:hyperlink r:id="rId10" w:history="1">
        <w:r w:rsidR="00FD465A" w:rsidRPr="00FD465A">
          <w:rPr>
            <w:rStyle w:val="Hyperkobling"/>
            <w:lang w:val="en-GB"/>
          </w:rPr>
          <w:t>https://law.moj.gov.tw/ENG/LawClass/LawAll.aspx?pcode=K0060001</w:t>
        </w:r>
      </w:hyperlink>
      <w:r w:rsidR="00FD465A" w:rsidRPr="00FD465A">
        <w:rPr>
          <w:lang w:val="en-GB"/>
        </w:rPr>
        <w:t>, Article 1.</w:t>
      </w:r>
    </w:p>
  </w:footnote>
  <w:footnote w:id="15">
    <w:p w14:paraId="46355DB5" w14:textId="0066B1E4" w:rsidR="00CD2CBD" w:rsidRPr="00CD2CBD" w:rsidRDefault="0083105C" w:rsidP="00CD2CBD">
      <w:pPr>
        <w:pStyle w:val="Fotnotetekst"/>
      </w:pPr>
      <w:r>
        <w:rPr>
          <w:rStyle w:val="Fotnotereferanse"/>
        </w:rPr>
        <w:footnoteRef/>
      </w:r>
      <w:r>
        <w:t xml:space="preserve"> </w:t>
      </w:r>
      <w:r w:rsidR="00CD2CBD" w:rsidRPr="00CD2CBD">
        <w:rPr>
          <w:lang w:val="en-GB"/>
        </w:rPr>
        <w:t>Se</w:t>
      </w:r>
      <w:r w:rsidR="00CD2CBD">
        <w:rPr>
          <w:lang w:val="en-GB"/>
        </w:rPr>
        <w:t>e</w:t>
      </w:r>
      <w:r w:rsidR="00CD2CBD" w:rsidRPr="00CD2CBD">
        <w:rPr>
          <w:lang w:val="en-GB"/>
        </w:rPr>
        <w:t xml:space="preserve"> «Eyes on the Road Program in Taiwan―Information Privacy issues under the Taiwan Personal Data Protection Act, 31 J. Marshall J. Info. Tech. &amp; Privacy L. 145» (2015), John Marshall Journal of Information Technology and Privacy Law </w:t>
      </w:r>
      <w:r w:rsidR="00CD2CBD">
        <w:rPr>
          <w:lang w:val="en-GB"/>
        </w:rPr>
        <w:t>is a review of the laws publish by a student organization at</w:t>
      </w:r>
      <w:r w:rsidR="00CD2CBD" w:rsidRPr="00CD2CBD">
        <w:rPr>
          <w:lang w:val="en-GB"/>
        </w:rPr>
        <w:t xml:space="preserve"> John Marshall Law School. </w:t>
      </w:r>
      <w:r w:rsidR="00CD2CBD">
        <w:rPr>
          <w:lang w:val="en-GB"/>
        </w:rPr>
        <w:t xml:space="preserve">The publications cover </w:t>
      </w:r>
      <w:proofErr w:type="spellStart"/>
      <w:r w:rsidR="00CD2CBD" w:rsidRPr="00CD2CBD">
        <w:t>interna</w:t>
      </w:r>
      <w:r w:rsidR="00CD2CBD">
        <w:t>tional</w:t>
      </w:r>
      <w:proofErr w:type="spellEnd"/>
      <w:r w:rsidR="00CD2CBD">
        <w:t xml:space="preserve"> </w:t>
      </w:r>
      <w:proofErr w:type="spellStart"/>
      <w:r w:rsidR="007555E5">
        <w:t>information</w:t>
      </w:r>
      <w:proofErr w:type="spellEnd"/>
      <w:r w:rsidR="007555E5">
        <w:t xml:space="preserve"> </w:t>
      </w:r>
      <w:proofErr w:type="spellStart"/>
      <w:r w:rsidR="007555E5">
        <w:t>technology</w:t>
      </w:r>
      <w:proofErr w:type="spellEnd"/>
      <w:r w:rsidR="007555E5">
        <w:t xml:space="preserve"> and </w:t>
      </w:r>
      <w:proofErr w:type="spellStart"/>
      <w:r w:rsidR="007555E5">
        <w:t>privacy</w:t>
      </w:r>
      <w:proofErr w:type="spellEnd"/>
      <w:r w:rsidR="007555E5">
        <w:t xml:space="preserve"> / data </w:t>
      </w:r>
      <w:proofErr w:type="spellStart"/>
      <w:r w:rsidR="007555E5">
        <w:t>protection</w:t>
      </w:r>
      <w:proofErr w:type="spellEnd"/>
      <w:r w:rsidR="007555E5">
        <w:t xml:space="preserve"> </w:t>
      </w:r>
      <w:proofErr w:type="spellStart"/>
      <w:r w:rsidR="007555E5">
        <w:t>regulation</w:t>
      </w:r>
      <w:proofErr w:type="spellEnd"/>
      <w:r w:rsidR="00CD2CBD" w:rsidRPr="00CD2CBD">
        <w:t xml:space="preserve">. </w:t>
      </w:r>
      <w:hyperlink r:id="rId11" w:history="1">
        <w:r w:rsidR="00CD2CBD" w:rsidRPr="00CD2CBD">
          <w:rPr>
            <w:rStyle w:val="Hyperkobling"/>
          </w:rPr>
          <w:t>https://repository.law.uic.edu/cgi/viewcontent.cgi?article=1758&amp;context=jitpl</w:t>
        </w:r>
      </w:hyperlink>
      <w:r w:rsidR="00CD2CBD" w:rsidRPr="00CD2CBD">
        <w:t>, side 171.</w:t>
      </w:r>
    </w:p>
    <w:p w14:paraId="4E8116B4" w14:textId="0858C418" w:rsidR="0083105C" w:rsidRPr="0083105C" w:rsidRDefault="0083105C">
      <w:pPr>
        <w:pStyle w:val="Fotnotetekst"/>
        <w:rPr>
          <w:lang w:val="en-US"/>
        </w:rPr>
      </w:pPr>
    </w:p>
  </w:footnote>
  <w:footnote w:id="16">
    <w:p w14:paraId="724EB8DC" w14:textId="08A1069C" w:rsidR="00684AD2" w:rsidRPr="00684AD2" w:rsidRDefault="00684AD2">
      <w:pPr>
        <w:pStyle w:val="Fotnotetekst"/>
        <w:rPr>
          <w:lang w:val="en-US"/>
        </w:rPr>
      </w:pPr>
      <w:r>
        <w:rPr>
          <w:rStyle w:val="Fotnotereferanse"/>
        </w:rPr>
        <w:footnoteRef/>
      </w:r>
      <w:r>
        <w:t xml:space="preserve"> </w:t>
      </w:r>
      <w:hyperlink r:id="rId12" w:history="1">
        <w:r w:rsidR="009F4E13" w:rsidRPr="00406EDB">
          <w:rPr>
            <w:rStyle w:val="Hyperkobling"/>
          </w:rPr>
          <w:t>https://www.edpb.europa.eu/system/files/2021-06/edpb_recommendations_202001vo.2.0_supplementarymeasurestransferstools_en.pdf</w:t>
        </w:r>
      </w:hyperlink>
    </w:p>
  </w:footnote>
  <w:footnote w:id="17">
    <w:p w14:paraId="1BE970AB" w14:textId="0E52B886" w:rsidR="001C41E1" w:rsidRPr="001C41E1" w:rsidRDefault="001C41E1">
      <w:pPr>
        <w:pStyle w:val="Fotnotetekst"/>
        <w:rPr>
          <w:lang w:val="en-US"/>
        </w:rPr>
      </w:pPr>
      <w:r>
        <w:rPr>
          <w:rStyle w:val="Fotnotereferanse"/>
        </w:rPr>
        <w:footnoteRef/>
      </w:r>
      <w:r>
        <w:t xml:space="preserve"> </w:t>
      </w:r>
      <w:r w:rsidR="009F5D57" w:rsidRPr="009137B4">
        <w:rPr>
          <w:lang w:val="en-GB"/>
        </w:rPr>
        <w:t xml:space="preserve">European Essential Guarantees. </w:t>
      </w:r>
      <w:hyperlink r:id="rId13" w:history="1">
        <w:r w:rsidR="009F5D57" w:rsidRPr="009137B4">
          <w:rPr>
            <w:rStyle w:val="Hyperkobling"/>
            <w:lang w:val="en-GB"/>
          </w:rPr>
          <w:t>https://www.edpb.europa.eu/sites/default/files/files/file1/edpb_recommendations_202002_europeanessentialguaranteessurveillance_en.pdf</w:t>
        </w:r>
      </w:hyperlink>
    </w:p>
  </w:footnote>
  <w:footnote w:id="18">
    <w:p w14:paraId="23ECA6A9" w14:textId="2D59032A" w:rsidR="001C41E1" w:rsidRPr="001C41E1" w:rsidRDefault="001C41E1">
      <w:pPr>
        <w:pStyle w:val="Fotnotetekst"/>
        <w:rPr>
          <w:lang w:val="en-US"/>
        </w:rPr>
      </w:pPr>
      <w:r>
        <w:rPr>
          <w:rStyle w:val="Fotnotereferanse"/>
        </w:rPr>
        <w:footnoteRef/>
      </w:r>
      <w:r>
        <w:t xml:space="preserve"> </w:t>
      </w:r>
      <w:r w:rsidR="00FD5A4C" w:rsidRPr="00EE32B6">
        <w:t>Ibid.</w:t>
      </w:r>
    </w:p>
  </w:footnote>
  <w:footnote w:id="19">
    <w:p w14:paraId="0A745488" w14:textId="3502C66F" w:rsidR="00FD5A4C" w:rsidRPr="00FD5A4C" w:rsidRDefault="00FD5A4C">
      <w:pPr>
        <w:pStyle w:val="Fotnotetekst"/>
        <w:rPr>
          <w:lang w:val="en-US"/>
        </w:rPr>
      </w:pPr>
      <w:r>
        <w:rPr>
          <w:rStyle w:val="Fotnotereferanse"/>
        </w:rPr>
        <w:footnoteRef/>
      </w:r>
      <w:r>
        <w:t xml:space="preserve"> </w:t>
      </w:r>
      <w:hyperlink r:id="rId14" w:history="1">
        <w:r w:rsidR="006D332B" w:rsidRPr="00EE32B6">
          <w:rPr>
            <w:rStyle w:val="Hyperkobling"/>
          </w:rPr>
          <w:t>https://www.edpb.europa.eu/sites/default/files/files/file1/edpb_recommendations_202002_europeanessentialguaranteessurveillance_en.pdf</w:t>
        </w:r>
      </w:hyperlink>
      <w:r w:rsidR="006D332B" w:rsidRPr="00EE32B6">
        <w:t xml:space="preserve">, </w:t>
      </w:r>
      <w:proofErr w:type="spellStart"/>
      <w:r w:rsidR="006D332B">
        <w:t>section</w:t>
      </w:r>
      <w:proofErr w:type="spellEnd"/>
      <w:r w:rsidR="006D332B">
        <w:t xml:space="preserve"> </w:t>
      </w:r>
      <w:r w:rsidR="006D332B" w:rsidRPr="00EE32B6">
        <w:t>26 – 31</w:t>
      </w:r>
    </w:p>
  </w:footnote>
  <w:footnote w:id="20">
    <w:p w14:paraId="0CA67B0F" w14:textId="6275116B" w:rsidR="00FD5A4C" w:rsidRPr="00FD5A4C" w:rsidRDefault="00FD5A4C">
      <w:pPr>
        <w:pStyle w:val="Fotnotetekst"/>
        <w:rPr>
          <w:lang w:val="en-US"/>
        </w:rPr>
      </w:pPr>
      <w:r>
        <w:rPr>
          <w:rStyle w:val="Fotnotereferanse"/>
        </w:rPr>
        <w:footnoteRef/>
      </w:r>
      <w:r>
        <w:t xml:space="preserve"> </w:t>
      </w:r>
      <w:hyperlink r:id="rId15" w:history="1">
        <w:r w:rsidR="006D332B" w:rsidRPr="00EE32B6">
          <w:rPr>
            <w:rStyle w:val="Hyperkobling"/>
          </w:rPr>
          <w:t>https://www.edpb.europa.eu/sites/default/files/files/file1/edpb_recommendations_202002_europeanessentialguaranteessurveillance_en.pdf</w:t>
        </w:r>
      </w:hyperlink>
      <w:r w:rsidR="006D332B" w:rsidRPr="00EE32B6">
        <w:t xml:space="preserve">, </w:t>
      </w:r>
      <w:proofErr w:type="spellStart"/>
      <w:r w:rsidR="006D332B">
        <w:t>section</w:t>
      </w:r>
      <w:proofErr w:type="spellEnd"/>
      <w:r w:rsidR="006D332B">
        <w:t xml:space="preserve"> </w:t>
      </w:r>
      <w:r w:rsidR="006D332B" w:rsidRPr="00EE32B6">
        <w:t>26</w:t>
      </w:r>
    </w:p>
  </w:footnote>
  <w:footnote w:id="21">
    <w:p w14:paraId="2A10DAA0" w14:textId="57913632" w:rsidR="006D332B" w:rsidRPr="006D332B" w:rsidRDefault="006D332B">
      <w:pPr>
        <w:pStyle w:val="Fotnotetekst"/>
        <w:rPr>
          <w:lang w:val="en-US"/>
        </w:rPr>
      </w:pPr>
      <w:r>
        <w:rPr>
          <w:rStyle w:val="Fotnotereferanse"/>
        </w:rPr>
        <w:footnoteRef/>
      </w:r>
      <w:r>
        <w:t xml:space="preserve"> </w:t>
      </w:r>
      <w:proofErr w:type="spellStart"/>
      <w:r w:rsidR="00A942EF">
        <w:t>Ibid</w:t>
      </w:r>
      <w:proofErr w:type="spellEnd"/>
      <w:r w:rsidR="00A942EF">
        <w:t xml:space="preserve">, </w:t>
      </w:r>
      <w:proofErr w:type="spellStart"/>
      <w:r w:rsidR="00A942EF">
        <w:t>section</w:t>
      </w:r>
      <w:proofErr w:type="spellEnd"/>
      <w:r w:rsidR="00A942EF">
        <w:t xml:space="preserve"> 28</w:t>
      </w:r>
    </w:p>
  </w:footnote>
  <w:footnote w:id="22">
    <w:p w14:paraId="6578D3CD" w14:textId="498CFA80" w:rsidR="006D332B" w:rsidRPr="006D332B" w:rsidRDefault="006D332B">
      <w:pPr>
        <w:pStyle w:val="Fotnotetekst"/>
        <w:rPr>
          <w:lang w:val="en-US"/>
        </w:rPr>
      </w:pPr>
      <w:r>
        <w:rPr>
          <w:rStyle w:val="Fotnotereferanse"/>
        </w:rPr>
        <w:footnoteRef/>
      </w:r>
      <w:r>
        <w:t xml:space="preserve"> </w:t>
      </w:r>
      <w:proofErr w:type="spellStart"/>
      <w:r w:rsidR="00A942EF">
        <w:t>Ibid</w:t>
      </w:r>
      <w:proofErr w:type="spellEnd"/>
      <w:r w:rsidR="00A942EF">
        <w:t xml:space="preserve">, </w:t>
      </w:r>
      <w:proofErr w:type="spellStart"/>
      <w:r w:rsidR="00A942EF">
        <w:t>section</w:t>
      </w:r>
      <w:proofErr w:type="spellEnd"/>
      <w:r w:rsidR="00A942EF">
        <w:t xml:space="preserve"> </w:t>
      </w:r>
      <w:r w:rsidR="00A942EF">
        <w:t>29</w:t>
      </w:r>
    </w:p>
  </w:footnote>
  <w:footnote w:id="23">
    <w:p w14:paraId="46CA3ADC" w14:textId="571AC9E1" w:rsidR="000E1CFE" w:rsidRPr="000E1CFE" w:rsidRDefault="000E1CFE">
      <w:pPr>
        <w:pStyle w:val="Fotnotetekst"/>
        <w:rPr>
          <w:lang w:val="en-US"/>
        </w:rPr>
      </w:pPr>
      <w:r>
        <w:rPr>
          <w:rStyle w:val="Fotnotereferanse"/>
        </w:rPr>
        <w:footnoteRef/>
      </w:r>
      <w:r>
        <w:t xml:space="preserve"> </w:t>
      </w:r>
      <w:proofErr w:type="spellStart"/>
      <w:r w:rsidR="00A942EF">
        <w:t>Ibid</w:t>
      </w:r>
      <w:proofErr w:type="spellEnd"/>
      <w:r w:rsidR="00A942EF">
        <w:t xml:space="preserve">, </w:t>
      </w:r>
      <w:proofErr w:type="spellStart"/>
      <w:r w:rsidR="00A942EF">
        <w:t>section</w:t>
      </w:r>
      <w:proofErr w:type="spellEnd"/>
      <w:r w:rsidR="00A942EF">
        <w:t xml:space="preserve"> </w:t>
      </w:r>
      <w:r w:rsidR="00A942EF">
        <w:t>30</w:t>
      </w:r>
    </w:p>
  </w:footnote>
  <w:footnote w:id="24">
    <w:p w14:paraId="365E2FE8" w14:textId="05ECD6E1" w:rsidR="000E1CFE" w:rsidRPr="000E1CFE" w:rsidRDefault="000E1CFE">
      <w:pPr>
        <w:pStyle w:val="Fotnotetekst"/>
        <w:rPr>
          <w:lang w:val="en-US"/>
        </w:rPr>
      </w:pPr>
      <w:r>
        <w:rPr>
          <w:rStyle w:val="Fotnotereferanse"/>
        </w:rPr>
        <w:footnoteRef/>
      </w:r>
      <w:r>
        <w:t xml:space="preserve"> </w:t>
      </w:r>
      <w:proofErr w:type="spellStart"/>
      <w:r w:rsidR="00A942EF">
        <w:t>Ibid</w:t>
      </w:r>
      <w:proofErr w:type="spellEnd"/>
      <w:r w:rsidR="00A942EF">
        <w:t xml:space="preserve">, </w:t>
      </w:r>
      <w:proofErr w:type="spellStart"/>
      <w:r w:rsidR="00A942EF">
        <w:t>section</w:t>
      </w:r>
      <w:proofErr w:type="spellEnd"/>
      <w:r w:rsidR="00A942EF">
        <w:t xml:space="preserve"> </w:t>
      </w:r>
      <w:r w:rsidR="00A942EF">
        <w:t>31</w:t>
      </w:r>
    </w:p>
  </w:footnote>
  <w:footnote w:id="25">
    <w:p w14:paraId="2ED5928A" w14:textId="7D2FD5CA" w:rsidR="0089706A" w:rsidRPr="0089706A" w:rsidRDefault="0089706A">
      <w:pPr>
        <w:pStyle w:val="Fotnotetekst"/>
        <w:rPr>
          <w:lang w:val="en-US"/>
        </w:rPr>
      </w:pPr>
      <w:r>
        <w:rPr>
          <w:rStyle w:val="Fotnotereferanse"/>
        </w:rPr>
        <w:footnoteRef/>
      </w:r>
      <w:r>
        <w:t xml:space="preserve"> </w:t>
      </w:r>
      <w:hyperlink r:id="rId16" w:history="1">
        <w:r w:rsidR="00711A47" w:rsidRPr="00EE32B6">
          <w:rPr>
            <w:rStyle w:val="Hyperkobling"/>
          </w:rPr>
          <w:t>https://en.wikipedia.org/wiki/Legislative_Yuan</w:t>
        </w:r>
      </w:hyperlink>
      <w:r w:rsidR="00711A47">
        <w:rPr>
          <w:rStyle w:val="Hyperkobling"/>
        </w:rPr>
        <w:t>.</w:t>
      </w:r>
    </w:p>
  </w:footnote>
  <w:footnote w:id="26">
    <w:p w14:paraId="79D3AC53" w14:textId="7A2B0F45" w:rsidR="008D6EB0" w:rsidRPr="008D6EB0" w:rsidRDefault="008D6EB0">
      <w:pPr>
        <w:pStyle w:val="Fotnotetekst"/>
        <w:rPr>
          <w:lang w:val="en-US"/>
        </w:rPr>
      </w:pPr>
      <w:r>
        <w:rPr>
          <w:rStyle w:val="Fotnotereferanse"/>
        </w:rPr>
        <w:footnoteRef/>
      </w:r>
      <w:r>
        <w:t xml:space="preserve"> </w:t>
      </w:r>
      <w:hyperlink r:id="rId17" w:history="1">
        <w:r w:rsidR="00D2286F" w:rsidRPr="008E22D2">
          <w:rPr>
            <w:rStyle w:val="Hyperkobling"/>
            <w:lang w:val="en-GB"/>
          </w:rPr>
          <w:t xml:space="preserve">Taiwan - Data Protection Overview | Guidance Note | </w:t>
        </w:r>
        <w:proofErr w:type="spellStart"/>
        <w:r w:rsidR="00D2286F" w:rsidRPr="008E22D2">
          <w:rPr>
            <w:rStyle w:val="Hyperkobling"/>
            <w:lang w:val="en-GB"/>
          </w:rPr>
          <w:t>DataGuidance</w:t>
        </w:r>
        <w:proofErr w:type="spellEnd"/>
      </w:hyperlink>
      <w:r w:rsidR="00D2286F" w:rsidRPr="008E22D2">
        <w:rPr>
          <w:lang w:val="en-GB"/>
        </w:rPr>
        <w:t xml:space="preserve">, </w:t>
      </w:r>
      <w:r w:rsidR="00D2286F">
        <w:rPr>
          <w:lang w:val="en-GB"/>
        </w:rPr>
        <w:t>section</w:t>
      </w:r>
      <w:r w:rsidR="00D2286F" w:rsidRPr="008E22D2">
        <w:rPr>
          <w:lang w:val="en-GB"/>
        </w:rPr>
        <w:t xml:space="preserve"> 1.1, 3.1</w:t>
      </w:r>
      <w:r w:rsidR="00D2286F">
        <w:rPr>
          <w:lang w:val="en-GB"/>
        </w:rPr>
        <w:t>.</w:t>
      </w:r>
    </w:p>
  </w:footnote>
  <w:footnote w:id="27">
    <w:p w14:paraId="5B78EC03" w14:textId="1C7233F3" w:rsidR="00B01B35" w:rsidRPr="00B01B35" w:rsidRDefault="00B01B35">
      <w:pPr>
        <w:pStyle w:val="Fotnotetekst"/>
        <w:rPr>
          <w:lang w:val="en-US"/>
        </w:rPr>
      </w:pPr>
      <w:r>
        <w:rPr>
          <w:rStyle w:val="Fotnotereferanse"/>
        </w:rPr>
        <w:footnoteRef/>
      </w:r>
      <w:r w:rsidR="002508AA">
        <w:t xml:space="preserve"> </w:t>
      </w:r>
      <w:hyperlink r:id="rId18" w:history="1">
        <w:r w:rsidR="002508AA" w:rsidRPr="00A324F5">
          <w:rPr>
            <w:rStyle w:val="Hyperkobling"/>
          </w:rPr>
          <w:t>https://www.edpb.europa.eu/sites/default/files/files/file1/edpb_recommendations_202002_europeanessentialguaranteessurveillance_en.pdf</w:t>
        </w:r>
      </w:hyperlink>
      <w:r w:rsidR="002508AA" w:rsidRPr="00EE32B6">
        <w:t xml:space="preserve">, </w:t>
      </w:r>
      <w:proofErr w:type="spellStart"/>
      <w:r w:rsidR="002508AA">
        <w:t>section</w:t>
      </w:r>
      <w:proofErr w:type="spellEnd"/>
      <w:r w:rsidR="002508AA" w:rsidRPr="00EE32B6">
        <w:t xml:space="preserve"> 46 </w:t>
      </w:r>
      <w:r w:rsidR="002508AA">
        <w:t>and</w:t>
      </w:r>
      <w:r w:rsidR="002508AA" w:rsidRPr="00EE32B6">
        <w:t xml:space="preserve"> 47</w:t>
      </w:r>
      <w:r w:rsidR="002508AA">
        <w:t>.</w:t>
      </w:r>
    </w:p>
  </w:footnote>
  <w:footnote w:id="28">
    <w:p w14:paraId="460D3AA1" w14:textId="4053A407" w:rsidR="00480A67" w:rsidRPr="00480A67" w:rsidRDefault="00480A67">
      <w:pPr>
        <w:pStyle w:val="Fotnotetekst"/>
        <w:rPr>
          <w:lang w:val="en-US"/>
        </w:rPr>
      </w:pPr>
      <w:r>
        <w:rPr>
          <w:rStyle w:val="Fotnotereferanse"/>
        </w:rPr>
        <w:footnoteRef/>
      </w:r>
      <w:r>
        <w:t xml:space="preserve"> </w:t>
      </w:r>
      <w:r w:rsidR="009B0D34" w:rsidRPr="009B0D34">
        <w:t xml:space="preserve">Taiwan – Third Country </w:t>
      </w:r>
      <w:proofErr w:type="spellStart"/>
      <w:r w:rsidR="009B0D34" w:rsidRPr="009B0D34">
        <w:t>Assessment</w:t>
      </w:r>
      <w:proofErr w:type="spellEnd"/>
      <w:r w:rsidR="009B0D34" w:rsidRPr="009B0D34">
        <w:t xml:space="preserve"> | </w:t>
      </w:r>
      <w:proofErr w:type="spellStart"/>
      <w:r w:rsidR="009B0D34" w:rsidRPr="009B0D34">
        <w:t>Guidance</w:t>
      </w:r>
      <w:proofErr w:type="spellEnd"/>
      <w:r w:rsidR="009B0D34" w:rsidRPr="009B0D34">
        <w:t xml:space="preserve"> Note | </w:t>
      </w:r>
      <w:proofErr w:type="spellStart"/>
      <w:r w:rsidR="009B0D34" w:rsidRPr="009B0D34">
        <w:t>DataGuidance</w:t>
      </w:r>
      <w:proofErr w:type="spellEnd"/>
      <w:r w:rsidR="009B0D34" w:rsidRPr="009B0D34">
        <w:t xml:space="preserve">, </w:t>
      </w:r>
      <w:proofErr w:type="spellStart"/>
      <w:r w:rsidR="009B0D34">
        <w:t>section</w:t>
      </w:r>
      <w:proofErr w:type="spellEnd"/>
      <w:r w:rsidR="009B0D34" w:rsidRPr="009B0D34">
        <w:t xml:space="preserve"> 2.3.</w:t>
      </w:r>
    </w:p>
  </w:footnote>
  <w:footnote w:id="29">
    <w:p w14:paraId="22B65E60" w14:textId="27A2F628" w:rsidR="001E1134" w:rsidRPr="001E1134" w:rsidRDefault="001E1134">
      <w:pPr>
        <w:pStyle w:val="Fotnotetekst"/>
        <w:rPr>
          <w:lang w:val="en-US"/>
        </w:rPr>
      </w:pPr>
      <w:r>
        <w:rPr>
          <w:rStyle w:val="Fotnotereferanse"/>
        </w:rPr>
        <w:footnoteRef/>
      </w:r>
      <w:r>
        <w:t xml:space="preserve"> </w:t>
      </w:r>
      <w:hyperlink r:id="rId19" w:history="1">
        <w:r w:rsidR="00DF721D" w:rsidRPr="00DF721D">
          <w:rPr>
            <w:rStyle w:val="Hyperkobling"/>
          </w:rPr>
          <w:t>https://www.dataguidance.com/notes/taiwan-data-protection-overview</w:t>
        </w:r>
      </w:hyperlink>
      <w:r w:rsidR="00DF721D" w:rsidRPr="00DF721D">
        <w:t xml:space="preserve">, </w:t>
      </w:r>
      <w:proofErr w:type="spellStart"/>
      <w:r w:rsidR="00DF721D">
        <w:t>section</w:t>
      </w:r>
      <w:proofErr w:type="spellEnd"/>
      <w:r w:rsidR="00DF721D" w:rsidRPr="00DF721D">
        <w:t xml:space="preserve"> 1.3.</w:t>
      </w:r>
    </w:p>
  </w:footnote>
  <w:footnote w:id="30">
    <w:p w14:paraId="4B129693" w14:textId="03381227" w:rsidR="00DD14E2" w:rsidRPr="00DD14E2" w:rsidRDefault="00DD14E2">
      <w:pPr>
        <w:pStyle w:val="Fotnotetekst"/>
        <w:rPr>
          <w:lang w:val="en-US"/>
        </w:rPr>
      </w:pPr>
      <w:r>
        <w:rPr>
          <w:rStyle w:val="Fotnotereferanse"/>
        </w:rPr>
        <w:footnoteRef/>
      </w:r>
      <w:r>
        <w:t xml:space="preserve"> </w:t>
      </w:r>
      <w:hyperlink r:id="rId20" w:history="1">
        <w:r w:rsidR="00196E3B" w:rsidRPr="00196E3B">
          <w:rPr>
            <w:rStyle w:val="Hyperkobling"/>
          </w:rPr>
          <w:t>https://cons.judicial.gov.tw/en/docdata.aspx?fid=100&amp;id=310812</w:t>
        </w:r>
      </w:hyperlink>
      <w:r w:rsidR="00196E3B" w:rsidRPr="00196E3B">
        <w:t>,</w:t>
      </w:r>
    </w:p>
  </w:footnote>
  <w:footnote w:id="31">
    <w:p w14:paraId="3E1AC7DE" w14:textId="64D33788" w:rsidR="00DD14E2" w:rsidRPr="00DD14E2" w:rsidRDefault="00DD14E2">
      <w:pPr>
        <w:pStyle w:val="Fotnotetekst"/>
        <w:rPr>
          <w:lang w:val="en-US"/>
        </w:rPr>
      </w:pPr>
      <w:r>
        <w:rPr>
          <w:rStyle w:val="Fotnotereferanse"/>
        </w:rPr>
        <w:footnoteRef/>
      </w:r>
      <w:r>
        <w:t xml:space="preserve"> </w:t>
      </w:r>
      <w:r w:rsidR="009908A4" w:rsidRPr="009908A4">
        <w:rPr>
          <w:lang w:val="en-GB"/>
        </w:rPr>
        <w:t xml:space="preserve">Leading Cases of the Taiwan Constitutional Court, August 2018, Volume One, Judicial Yuan, No.631, «Background Note by the translator», </w:t>
      </w:r>
      <w:r w:rsidR="009908A4">
        <w:rPr>
          <w:lang w:val="en-GB"/>
        </w:rPr>
        <w:t xml:space="preserve">pages </w:t>
      </w:r>
      <w:r w:rsidR="009908A4" w:rsidRPr="009908A4">
        <w:rPr>
          <w:lang w:val="en-GB"/>
        </w:rPr>
        <w:t>111 – 119.</w:t>
      </w:r>
    </w:p>
  </w:footnote>
  <w:footnote w:id="32">
    <w:p w14:paraId="2076E8CA" w14:textId="0A2BAE86" w:rsidR="00D83C2E" w:rsidRPr="00D83C2E" w:rsidRDefault="00D83C2E">
      <w:pPr>
        <w:pStyle w:val="Fotnotetekst"/>
        <w:rPr>
          <w:lang w:val="en-US"/>
        </w:rPr>
      </w:pPr>
      <w:r>
        <w:rPr>
          <w:rStyle w:val="Fotnotereferanse"/>
        </w:rPr>
        <w:footnoteRef/>
      </w:r>
      <w:r>
        <w:t xml:space="preserve"> </w:t>
      </w:r>
      <w:hyperlink r:id="rId21" w:history="1">
        <w:r w:rsidR="00E75A39" w:rsidRPr="00677869">
          <w:rPr>
            <w:rStyle w:val="Hyperkobling"/>
            <w:lang w:val="en-GB"/>
          </w:rPr>
          <w:t>https://globaltaiwan.org/2020/02/closing-loopholes-in-the-legal-framework-for-government-surveillance-in-taiwan/</w:t>
        </w:r>
      </w:hyperlink>
    </w:p>
  </w:footnote>
  <w:footnote w:id="33">
    <w:p w14:paraId="6E3CBD1F" w14:textId="76B3CB5B" w:rsidR="00E75A39" w:rsidRPr="00E75A39" w:rsidRDefault="00E75A39">
      <w:pPr>
        <w:pStyle w:val="Fotnotetekst"/>
        <w:rPr>
          <w:lang w:val="en-US"/>
        </w:rPr>
      </w:pPr>
      <w:r>
        <w:rPr>
          <w:rStyle w:val="Fotnotereferanse"/>
        </w:rPr>
        <w:footnoteRef/>
      </w:r>
      <w:r>
        <w:t xml:space="preserve"> </w:t>
      </w:r>
      <w:r w:rsidR="00BE6DD0" w:rsidRPr="00BE6DD0">
        <w:rPr>
          <w:lang w:val="en-GB"/>
        </w:rPr>
        <w:t>Taiwan Internet Transparency Report, a research project on internet freedom and online privacy conducted investigate and track the personal data requests and content removal request situation done by government units, Taiwan Association for Human Rights (TAHR),</w:t>
      </w:r>
      <w:r w:rsidR="00126932">
        <w:rPr>
          <w:lang w:val="en-GB"/>
        </w:rPr>
        <w:t xml:space="preserve"> </w:t>
      </w:r>
      <w:hyperlink r:id="rId22" w:history="1">
        <w:r w:rsidR="00126932" w:rsidRPr="00A324F5">
          <w:rPr>
            <w:rStyle w:val="Hyperkobling"/>
            <w:lang w:val="en-GB"/>
          </w:rPr>
          <w:t>https://transparency.tahr.org.tw/TITR_Report_2015_en.pdf</w:t>
        </w:r>
      </w:hyperlink>
      <w:r w:rsidR="00BE6DD0" w:rsidRPr="00BE6DD0">
        <w:rPr>
          <w:lang w:val="en-GB"/>
        </w:rPr>
        <w:t>.</w:t>
      </w:r>
    </w:p>
  </w:footnote>
  <w:footnote w:id="34">
    <w:p w14:paraId="7F89BEAC" w14:textId="0C59E663" w:rsidR="00237C6C" w:rsidRPr="00237C6C" w:rsidRDefault="00237C6C">
      <w:pPr>
        <w:pStyle w:val="Fotnotetekst"/>
        <w:rPr>
          <w:lang w:val="en-US"/>
        </w:rPr>
      </w:pPr>
      <w:r>
        <w:rPr>
          <w:rStyle w:val="Fotnotereferanse"/>
        </w:rPr>
        <w:footnoteRef/>
      </w:r>
      <w:r>
        <w:t xml:space="preserve"> </w:t>
      </w:r>
      <w:r w:rsidR="00845C09" w:rsidRPr="00845C09">
        <w:rPr>
          <w:lang w:val="en-GB"/>
        </w:rPr>
        <w:t xml:space="preserve">Ibid, </w:t>
      </w:r>
      <w:r w:rsidR="00845C09">
        <w:rPr>
          <w:lang w:val="en-GB"/>
        </w:rPr>
        <w:t>pages</w:t>
      </w:r>
      <w:r w:rsidR="00845C09" w:rsidRPr="00845C09">
        <w:rPr>
          <w:lang w:val="en-GB"/>
        </w:rPr>
        <w:t xml:space="preserve"> 10 </w:t>
      </w:r>
      <w:r w:rsidR="00845C09">
        <w:rPr>
          <w:lang w:val="en-GB"/>
        </w:rPr>
        <w:t>–</w:t>
      </w:r>
      <w:r w:rsidR="00845C09" w:rsidRPr="00845C09">
        <w:rPr>
          <w:lang w:val="en-GB"/>
        </w:rPr>
        <w:t xml:space="preserve"> 11.</w:t>
      </w:r>
    </w:p>
  </w:footnote>
  <w:footnote w:id="35">
    <w:p w14:paraId="38871CD1" w14:textId="15EF683D" w:rsidR="00845C09" w:rsidRPr="00845C09" w:rsidRDefault="00845C09">
      <w:pPr>
        <w:pStyle w:val="Fotnotetekst"/>
        <w:rPr>
          <w:lang w:val="en-US"/>
        </w:rPr>
      </w:pPr>
      <w:r>
        <w:rPr>
          <w:rStyle w:val="Fotnotereferanse"/>
        </w:rPr>
        <w:footnoteRef/>
      </w:r>
      <w:r>
        <w:t xml:space="preserve"> </w:t>
      </w:r>
      <w:r w:rsidRPr="00845C09">
        <w:rPr>
          <w:lang w:val="en-GB"/>
        </w:rPr>
        <w:t xml:space="preserve">Ibid, </w:t>
      </w:r>
      <w:r>
        <w:rPr>
          <w:lang w:val="en-GB"/>
        </w:rPr>
        <w:t>page</w:t>
      </w:r>
      <w:r>
        <w:rPr>
          <w:lang w:val="en-GB"/>
        </w:rPr>
        <w:t xml:space="preserve"> 27.</w:t>
      </w:r>
    </w:p>
  </w:footnote>
  <w:footnote w:id="36">
    <w:p w14:paraId="521EAA4D" w14:textId="773A659A" w:rsidR="000327B9" w:rsidRPr="000327B9" w:rsidRDefault="000327B9">
      <w:pPr>
        <w:pStyle w:val="Fotnotetekst"/>
        <w:rPr>
          <w:lang w:val="en-US"/>
        </w:rPr>
      </w:pPr>
      <w:r>
        <w:rPr>
          <w:rStyle w:val="Fotnotereferanse"/>
        </w:rPr>
        <w:footnoteRef/>
      </w:r>
      <w:r>
        <w:t xml:space="preserve"> </w:t>
      </w:r>
      <w:r w:rsidR="00126932" w:rsidRPr="00BE6DD0">
        <w:rPr>
          <w:lang w:val="en-GB"/>
        </w:rPr>
        <w:t>Taiwan Internet Transparency Report, a research project on internet freedom and online privacy conducted investigate and track the personal data requests and content removal request situation done by government units, Taiwan Association for Human Rights (TAHR),</w:t>
      </w:r>
      <w:r w:rsidR="00126932">
        <w:rPr>
          <w:lang w:val="en-GB"/>
        </w:rPr>
        <w:t xml:space="preserve"> </w:t>
      </w:r>
      <w:hyperlink r:id="rId23" w:history="1">
        <w:r w:rsidR="00126932" w:rsidRPr="00A324F5">
          <w:rPr>
            <w:rStyle w:val="Hyperkobling"/>
            <w:lang w:val="en-GB"/>
          </w:rPr>
          <w:t>https://transparency.tahr.org.tw/TITR_Report_2015_en.pdf</w:t>
        </w:r>
      </w:hyperlink>
      <w:r w:rsidR="00126932" w:rsidRPr="00BE6DD0">
        <w:rPr>
          <w:lang w:val="en-GB"/>
        </w:rPr>
        <w:t>.</w:t>
      </w:r>
      <w:r w:rsidR="00126932">
        <w:rPr>
          <w:lang w:val="en-GB"/>
        </w:rPr>
        <w:t>, page</w:t>
      </w:r>
      <w:r w:rsidR="001239B5">
        <w:rPr>
          <w:lang w:val="en-GB"/>
        </w:rPr>
        <w:t xml:space="preserve"> 26</w:t>
      </w:r>
    </w:p>
  </w:footnote>
  <w:footnote w:id="37">
    <w:p w14:paraId="6F19AE27" w14:textId="2709B70A" w:rsidR="000327B9" w:rsidRPr="000327B9" w:rsidRDefault="000327B9">
      <w:pPr>
        <w:pStyle w:val="Fotnotetekst"/>
        <w:rPr>
          <w:lang w:val="en-US"/>
        </w:rPr>
      </w:pPr>
      <w:r>
        <w:rPr>
          <w:rStyle w:val="Fotnotereferanse"/>
        </w:rPr>
        <w:footnoteRef/>
      </w:r>
      <w:r>
        <w:t xml:space="preserve"> </w:t>
      </w:r>
      <w:proofErr w:type="spellStart"/>
      <w:r w:rsidR="00093F33">
        <w:t>Ibid</w:t>
      </w:r>
      <w:proofErr w:type="spellEnd"/>
      <w:r w:rsidR="00093F33">
        <w:t xml:space="preserve">, </w:t>
      </w:r>
      <w:proofErr w:type="spellStart"/>
      <w:r w:rsidR="00093F33">
        <w:t>page</w:t>
      </w:r>
      <w:proofErr w:type="spellEnd"/>
      <w:r w:rsidR="00093F33">
        <w:t xml:space="preserve"> 25 </w:t>
      </w:r>
    </w:p>
  </w:footnote>
  <w:footnote w:id="38">
    <w:p w14:paraId="79D31B9C" w14:textId="74D8CBFE" w:rsidR="000327B9" w:rsidRPr="000327B9" w:rsidRDefault="000327B9">
      <w:pPr>
        <w:pStyle w:val="Fotnotetekst"/>
        <w:rPr>
          <w:lang w:val="en-US"/>
        </w:rPr>
      </w:pPr>
      <w:r>
        <w:rPr>
          <w:rStyle w:val="Fotnotereferanse"/>
        </w:rPr>
        <w:footnoteRef/>
      </w:r>
      <w:r>
        <w:t xml:space="preserve"> </w:t>
      </w:r>
      <w:proofErr w:type="spellStart"/>
      <w:r w:rsidR="00093F33">
        <w:t>Ibid</w:t>
      </w:r>
      <w:proofErr w:type="spellEnd"/>
      <w:r w:rsidR="00093F33">
        <w:t xml:space="preserve">, </w:t>
      </w:r>
      <w:proofErr w:type="spellStart"/>
      <w:r w:rsidR="00093F33">
        <w:t>page</w:t>
      </w:r>
      <w:proofErr w:type="spellEnd"/>
      <w:r w:rsidR="00093F33">
        <w:t xml:space="preserve"> 2</w:t>
      </w:r>
      <w:r w:rsidR="00093F33">
        <w:t>4</w:t>
      </w:r>
    </w:p>
  </w:footnote>
  <w:footnote w:id="39">
    <w:p w14:paraId="2C5D264E" w14:textId="7A834823" w:rsidR="00FC723C" w:rsidRPr="00FC723C" w:rsidRDefault="00FC723C">
      <w:pPr>
        <w:pStyle w:val="Fotnotetekst"/>
        <w:rPr>
          <w:lang w:val="en-US"/>
        </w:rPr>
      </w:pPr>
      <w:r>
        <w:rPr>
          <w:rStyle w:val="Fotnotereferanse"/>
        </w:rPr>
        <w:footnoteRef/>
      </w:r>
      <w:r>
        <w:t xml:space="preserve"> </w:t>
      </w:r>
      <w:hyperlink r:id="rId24" w:history="1">
        <w:r w:rsidR="00126932" w:rsidRPr="006B12E7">
          <w:rPr>
            <w:rStyle w:val="Hyperkobling"/>
            <w:lang w:val="en-GB"/>
          </w:rPr>
          <w:t>https://transparencyreport.google.com/user-data/overview?hl=en_US&amp;user_requests_report_period=series:requests,accounts;authority:TW;time:&amp;lu=legal_process_breakdown&amp;legal_process_breakdown=expanded:0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0A06" w14:textId="5E84A314" w:rsidR="004E1B7A" w:rsidRPr="00EE32B6" w:rsidRDefault="004E1B7A">
    <w:pPr>
      <w:pStyle w:val="Topptekst"/>
      <w:rPr>
        <w:b/>
        <w:bCs/>
        <w:u w:val="single"/>
      </w:rPr>
    </w:pPr>
  </w:p>
  <w:p w14:paraId="42991EF9" w14:textId="77777777" w:rsidR="004E1B7A" w:rsidRPr="00EE32B6" w:rsidRDefault="004E1B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A71"/>
    <w:multiLevelType w:val="hybridMultilevel"/>
    <w:tmpl w:val="F28203C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C8094C"/>
    <w:multiLevelType w:val="hybridMultilevel"/>
    <w:tmpl w:val="D6B0D6FE"/>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7406F1"/>
    <w:multiLevelType w:val="multilevel"/>
    <w:tmpl w:val="D9DE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01952"/>
    <w:multiLevelType w:val="hybridMultilevel"/>
    <w:tmpl w:val="3DECE388"/>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2033A56"/>
    <w:multiLevelType w:val="multilevel"/>
    <w:tmpl w:val="6BBA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715EC"/>
    <w:multiLevelType w:val="hybridMultilevel"/>
    <w:tmpl w:val="6D98C664"/>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3C0726"/>
    <w:multiLevelType w:val="multilevel"/>
    <w:tmpl w:val="B410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3170C3"/>
    <w:multiLevelType w:val="hybridMultilevel"/>
    <w:tmpl w:val="C12C4EF8"/>
    <w:lvl w:ilvl="0" w:tplc="6FA4459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07609C"/>
    <w:multiLevelType w:val="hybridMultilevel"/>
    <w:tmpl w:val="29B2DE82"/>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DEE49DE"/>
    <w:multiLevelType w:val="hybridMultilevel"/>
    <w:tmpl w:val="8FFAFB8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4C47818"/>
    <w:multiLevelType w:val="hybridMultilevel"/>
    <w:tmpl w:val="39CCCB2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4D3BD6"/>
    <w:multiLevelType w:val="hybridMultilevel"/>
    <w:tmpl w:val="7FAC6D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5EE4837"/>
    <w:multiLevelType w:val="hybridMultilevel"/>
    <w:tmpl w:val="4972000A"/>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F933571"/>
    <w:multiLevelType w:val="hybridMultilevel"/>
    <w:tmpl w:val="22A2F57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34D321E"/>
    <w:multiLevelType w:val="hybridMultilevel"/>
    <w:tmpl w:val="29200746"/>
    <w:lvl w:ilvl="0" w:tplc="138C4CA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C64779"/>
    <w:multiLevelType w:val="hybridMultilevel"/>
    <w:tmpl w:val="744CF9CE"/>
    <w:lvl w:ilvl="0" w:tplc="B6D8230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4F408B0"/>
    <w:multiLevelType w:val="hybridMultilevel"/>
    <w:tmpl w:val="6AC801A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5CB4FD1"/>
    <w:multiLevelType w:val="multilevel"/>
    <w:tmpl w:val="AC70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256413">
    <w:abstractNumId w:val="14"/>
  </w:num>
  <w:num w:numId="2" w16cid:durableId="140654535">
    <w:abstractNumId w:val="3"/>
  </w:num>
  <w:num w:numId="3" w16cid:durableId="999501162">
    <w:abstractNumId w:val="15"/>
  </w:num>
  <w:num w:numId="4" w16cid:durableId="321348121">
    <w:abstractNumId w:val="8"/>
  </w:num>
  <w:num w:numId="5" w16cid:durableId="2072775994">
    <w:abstractNumId w:val="1"/>
  </w:num>
  <w:num w:numId="6" w16cid:durableId="174854605">
    <w:abstractNumId w:val="5"/>
  </w:num>
  <w:num w:numId="7" w16cid:durableId="351683873">
    <w:abstractNumId w:val="12"/>
  </w:num>
  <w:num w:numId="8" w16cid:durableId="1348676407">
    <w:abstractNumId w:val="17"/>
  </w:num>
  <w:num w:numId="9" w16cid:durableId="679703666">
    <w:abstractNumId w:val="4"/>
  </w:num>
  <w:num w:numId="10" w16cid:durableId="1799450204">
    <w:abstractNumId w:val="6"/>
  </w:num>
  <w:num w:numId="11" w16cid:durableId="620963109">
    <w:abstractNumId w:val="2"/>
  </w:num>
  <w:num w:numId="12" w16cid:durableId="443308122">
    <w:abstractNumId w:val="7"/>
  </w:num>
  <w:num w:numId="13" w16cid:durableId="595871638">
    <w:abstractNumId w:val="0"/>
  </w:num>
  <w:num w:numId="14" w16cid:durableId="1913923353">
    <w:abstractNumId w:val="16"/>
  </w:num>
  <w:num w:numId="15" w16cid:durableId="1413971387">
    <w:abstractNumId w:val="9"/>
  </w:num>
  <w:num w:numId="16" w16cid:durableId="1075784080">
    <w:abstractNumId w:val="11"/>
  </w:num>
  <w:num w:numId="17" w16cid:durableId="1167134957">
    <w:abstractNumId w:val="13"/>
  </w:num>
  <w:num w:numId="18" w16cid:durableId="18887839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1D"/>
    <w:rsid w:val="000017A3"/>
    <w:rsid w:val="0000392B"/>
    <w:rsid w:val="00004516"/>
    <w:rsid w:val="000045DF"/>
    <w:rsid w:val="000056DE"/>
    <w:rsid w:val="000058A7"/>
    <w:rsid w:val="00006602"/>
    <w:rsid w:val="000074B6"/>
    <w:rsid w:val="000074F1"/>
    <w:rsid w:val="000078F3"/>
    <w:rsid w:val="00007DE4"/>
    <w:rsid w:val="00007E9E"/>
    <w:rsid w:val="00011014"/>
    <w:rsid w:val="00011A73"/>
    <w:rsid w:val="00011FF0"/>
    <w:rsid w:val="00012275"/>
    <w:rsid w:val="00012285"/>
    <w:rsid w:val="000123CD"/>
    <w:rsid w:val="00012920"/>
    <w:rsid w:val="00012965"/>
    <w:rsid w:val="000131E9"/>
    <w:rsid w:val="000134E9"/>
    <w:rsid w:val="000135B6"/>
    <w:rsid w:val="000137E0"/>
    <w:rsid w:val="000138C4"/>
    <w:rsid w:val="0001393F"/>
    <w:rsid w:val="00014575"/>
    <w:rsid w:val="00014B20"/>
    <w:rsid w:val="000159DB"/>
    <w:rsid w:val="00015A3B"/>
    <w:rsid w:val="00016541"/>
    <w:rsid w:val="00016596"/>
    <w:rsid w:val="000170B5"/>
    <w:rsid w:val="00017375"/>
    <w:rsid w:val="00017EF1"/>
    <w:rsid w:val="0002022E"/>
    <w:rsid w:val="00020402"/>
    <w:rsid w:val="00020954"/>
    <w:rsid w:val="00021676"/>
    <w:rsid w:val="00021A24"/>
    <w:rsid w:val="00021F03"/>
    <w:rsid w:val="00023386"/>
    <w:rsid w:val="0002409A"/>
    <w:rsid w:val="0002499B"/>
    <w:rsid w:val="000251CE"/>
    <w:rsid w:val="00026ADB"/>
    <w:rsid w:val="00026F7B"/>
    <w:rsid w:val="00026FF4"/>
    <w:rsid w:val="00027D99"/>
    <w:rsid w:val="00030058"/>
    <w:rsid w:val="00030804"/>
    <w:rsid w:val="00031418"/>
    <w:rsid w:val="0003205F"/>
    <w:rsid w:val="00032579"/>
    <w:rsid w:val="000327B9"/>
    <w:rsid w:val="00033366"/>
    <w:rsid w:val="00035CAF"/>
    <w:rsid w:val="00041440"/>
    <w:rsid w:val="0004167D"/>
    <w:rsid w:val="00042351"/>
    <w:rsid w:val="00042676"/>
    <w:rsid w:val="00043C39"/>
    <w:rsid w:val="00043D57"/>
    <w:rsid w:val="000445A6"/>
    <w:rsid w:val="00044F54"/>
    <w:rsid w:val="00045358"/>
    <w:rsid w:val="00045553"/>
    <w:rsid w:val="00045CF5"/>
    <w:rsid w:val="00045E1C"/>
    <w:rsid w:val="00046DC0"/>
    <w:rsid w:val="00046EFC"/>
    <w:rsid w:val="00046F20"/>
    <w:rsid w:val="00047171"/>
    <w:rsid w:val="00047634"/>
    <w:rsid w:val="00047A67"/>
    <w:rsid w:val="00050CE6"/>
    <w:rsid w:val="0005132E"/>
    <w:rsid w:val="0005176A"/>
    <w:rsid w:val="000518C7"/>
    <w:rsid w:val="00052388"/>
    <w:rsid w:val="0005263F"/>
    <w:rsid w:val="000528A2"/>
    <w:rsid w:val="00052DD8"/>
    <w:rsid w:val="00052F91"/>
    <w:rsid w:val="000556D0"/>
    <w:rsid w:val="00055A80"/>
    <w:rsid w:val="00055FA8"/>
    <w:rsid w:val="000565D5"/>
    <w:rsid w:val="00056638"/>
    <w:rsid w:val="00056B6E"/>
    <w:rsid w:val="00057F02"/>
    <w:rsid w:val="000617CE"/>
    <w:rsid w:val="0006248F"/>
    <w:rsid w:val="0006285A"/>
    <w:rsid w:val="00062A17"/>
    <w:rsid w:val="00062BD9"/>
    <w:rsid w:val="00063801"/>
    <w:rsid w:val="0006430D"/>
    <w:rsid w:val="000648C4"/>
    <w:rsid w:val="00064930"/>
    <w:rsid w:val="00064E47"/>
    <w:rsid w:val="00065579"/>
    <w:rsid w:val="00065AB1"/>
    <w:rsid w:val="00066791"/>
    <w:rsid w:val="0006771F"/>
    <w:rsid w:val="000677DF"/>
    <w:rsid w:val="000715DD"/>
    <w:rsid w:val="00071669"/>
    <w:rsid w:val="000721B7"/>
    <w:rsid w:val="00072E61"/>
    <w:rsid w:val="00073D2B"/>
    <w:rsid w:val="00075312"/>
    <w:rsid w:val="0007549F"/>
    <w:rsid w:val="00075691"/>
    <w:rsid w:val="00075DF7"/>
    <w:rsid w:val="00076495"/>
    <w:rsid w:val="00076903"/>
    <w:rsid w:val="00082286"/>
    <w:rsid w:val="00082A31"/>
    <w:rsid w:val="00082C08"/>
    <w:rsid w:val="000836CA"/>
    <w:rsid w:val="00083748"/>
    <w:rsid w:val="00083979"/>
    <w:rsid w:val="00083ABC"/>
    <w:rsid w:val="000840AD"/>
    <w:rsid w:val="0008530A"/>
    <w:rsid w:val="000864CE"/>
    <w:rsid w:val="00086837"/>
    <w:rsid w:val="000868CE"/>
    <w:rsid w:val="00086C70"/>
    <w:rsid w:val="0009114E"/>
    <w:rsid w:val="000916EB"/>
    <w:rsid w:val="00091E52"/>
    <w:rsid w:val="00092137"/>
    <w:rsid w:val="0009215A"/>
    <w:rsid w:val="000926AA"/>
    <w:rsid w:val="00093F33"/>
    <w:rsid w:val="00093FC9"/>
    <w:rsid w:val="000943AC"/>
    <w:rsid w:val="00094EAB"/>
    <w:rsid w:val="000958A6"/>
    <w:rsid w:val="000963D4"/>
    <w:rsid w:val="00096D9B"/>
    <w:rsid w:val="00097345"/>
    <w:rsid w:val="00097E9F"/>
    <w:rsid w:val="000A0DD2"/>
    <w:rsid w:val="000A1035"/>
    <w:rsid w:val="000A1081"/>
    <w:rsid w:val="000A19CB"/>
    <w:rsid w:val="000A1C02"/>
    <w:rsid w:val="000A27F1"/>
    <w:rsid w:val="000A29E6"/>
    <w:rsid w:val="000A39A8"/>
    <w:rsid w:val="000A4D97"/>
    <w:rsid w:val="000A5528"/>
    <w:rsid w:val="000A5954"/>
    <w:rsid w:val="000B0584"/>
    <w:rsid w:val="000B07B3"/>
    <w:rsid w:val="000B0897"/>
    <w:rsid w:val="000B176D"/>
    <w:rsid w:val="000B217C"/>
    <w:rsid w:val="000B296D"/>
    <w:rsid w:val="000B3473"/>
    <w:rsid w:val="000B47F0"/>
    <w:rsid w:val="000B56DF"/>
    <w:rsid w:val="000B5A31"/>
    <w:rsid w:val="000B615E"/>
    <w:rsid w:val="000B61D4"/>
    <w:rsid w:val="000B689F"/>
    <w:rsid w:val="000B6FD3"/>
    <w:rsid w:val="000B73E6"/>
    <w:rsid w:val="000B7BB6"/>
    <w:rsid w:val="000B7E66"/>
    <w:rsid w:val="000C0FA3"/>
    <w:rsid w:val="000C1EEF"/>
    <w:rsid w:val="000C30FE"/>
    <w:rsid w:val="000C3C5B"/>
    <w:rsid w:val="000C417C"/>
    <w:rsid w:val="000C4833"/>
    <w:rsid w:val="000C5690"/>
    <w:rsid w:val="000C61A0"/>
    <w:rsid w:val="000C7912"/>
    <w:rsid w:val="000D1347"/>
    <w:rsid w:val="000D1E83"/>
    <w:rsid w:val="000D2010"/>
    <w:rsid w:val="000D30CA"/>
    <w:rsid w:val="000D3671"/>
    <w:rsid w:val="000D36DE"/>
    <w:rsid w:val="000D480B"/>
    <w:rsid w:val="000D4A59"/>
    <w:rsid w:val="000D4CCE"/>
    <w:rsid w:val="000D5857"/>
    <w:rsid w:val="000D5FC7"/>
    <w:rsid w:val="000E059D"/>
    <w:rsid w:val="000E0A23"/>
    <w:rsid w:val="000E1CFE"/>
    <w:rsid w:val="000E29ED"/>
    <w:rsid w:val="000E2BC9"/>
    <w:rsid w:val="000E2F63"/>
    <w:rsid w:val="000E2FCE"/>
    <w:rsid w:val="000E2FEB"/>
    <w:rsid w:val="000E314F"/>
    <w:rsid w:val="000E3506"/>
    <w:rsid w:val="000E3E58"/>
    <w:rsid w:val="000E673D"/>
    <w:rsid w:val="000E7382"/>
    <w:rsid w:val="000E7C25"/>
    <w:rsid w:val="000E7D2B"/>
    <w:rsid w:val="000E7D9B"/>
    <w:rsid w:val="000F0545"/>
    <w:rsid w:val="000F084C"/>
    <w:rsid w:val="000F089F"/>
    <w:rsid w:val="000F0943"/>
    <w:rsid w:val="000F1B24"/>
    <w:rsid w:val="000F1D91"/>
    <w:rsid w:val="000F2F1D"/>
    <w:rsid w:val="000F33E9"/>
    <w:rsid w:val="000F3818"/>
    <w:rsid w:val="000F49C3"/>
    <w:rsid w:val="000F4B4F"/>
    <w:rsid w:val="000F520F"/>
    <w:rsid w:val="000F53F9"/>
    <w:rsid w:val="000F62B5"/>
    <w:rsid w:val="000F6638"/>
    <w:rsid w:val="000F6B0C"/>
    <w:rsid w:val="000F717A"/>
    <w:rsid w:val="00101630"/>
    <w:rsid w:val="00101989"/>
    <w:rsid w:val="00101E41"/>
    <w:rsid w:val="00102185"/>
    <w:rsid w:val="00102781"/>
    <w:rsid w:val="001033C0"/>
    <w:rsid w:val="0010380A"/>
    <w:rsid w:val="00103B50"/>
    <w:rsid w:val="00103C6B"/>
    <w:rsid w:val="00103C8C"/>
    <w:rsid w:val="001047FB"/>
    <w:rsid w:val="0010646B"/>
    <w:rsid w:val="00106EC0"/>
    <w:rsid w:val="001078C9"/>
    <w:rsid w:val="00107FB2"/>
    <w:rsid w:val="00110170"/>
    <w:rsid w:val="00113838"/>
    <w:rsid w:val="00115046"/>
    <w:rsid w:val="001153FD"/>
    <w:rsid w:val="00116231"/>
    <w:rsid w:val="001203AB"/>
    <w:rsid w:val="00120E11"/>
    <w:rsid w:val="001215C8"/>
    <w:rsid w:val="00122220"/>
    <w:rsid w:val="00122475"/>
    <w:rsid w:val="001239B5"/>
    <w:rsid w:val="00123B95"/>
    <w:rsid w:val="001251B5"/>
    <w:rsid w:val="001251E3"/>
    <w:rsid w:val="00125534"/>
    <w:rsid w:val="0012563F"/>
    <w:rsid w:val="00126932"/>
    <w:rsid w:val="00126979"/>
    <w:rsid w:val="001308E6"/>
    <w:rsid w:val="0013123B"/>
    <w:rsid w:val="001315FF"/>
    <w:rsid w:val="0013169E"/>
    <w:rsid w:val="00131A7D"/>
    <w:rsid w:val="001346EA"/>
    <w:rsid w:val="00135175"/>
    <w:rsid w:val="00135604"/>
    <w:rsid w:val="00135B5A"/>
    <w:rsid w:val="00135CED"/>
    <w:rsid w:val="001360B7"/>
    <w:rsid w:val="0013611F"/>
    <w:rsid w:val="001363A3"/>
    <w:rsid w:val="00136AEE"/>
    <w:rsid w:val="00136B7B"/>
    <w:rsid w:val="001372D4"/>
    <w:rsid w:val="001374D2"/>
    <w:rsid w:val="00137B56"/>
    <w:rsid w:val="00137C60"/>
    <w:rsid w:val="00140764"/>
    <w:rsid w:val="00140AE9"/>
    <w:rsid w:val="001412F7"/>
    <w:rsid w:val="001426EC"/>
    <w:rsid w:val="0014274E"/>
    <w:rsid w:val="0014279E"/>
    <w:rsid w:val="001439B6"/>
    <w:rsid w:val="00145310"/>
    <w:rsid w:val="00145570"/>
    <w:rsid w:val="00146024"/>
    <w:rsid w:val="0014634B"/>
    <w:rsid w:val="001472D1"/>
    <w:rsid w:val="00147640"/>
    <w:rsid w:val="00147A19"/>
    <w:rsid w:val="00150B51"/>
    <w:rsid w:val="00151557"/>
    <w:rsid w:val="00152551"/>
    <w:rsid w:val="00153480"/>
    <w:rsid w:val="00154167"/>
    <w:rsid w:val="001541C9"/>
    <w:rsid w:val="0015473F"/>
    <w:rsid w:val="001548B6"/>
    <w:rsid w:val="00154AA3"/>
    <w:rsid w:val="001555C6"/>
    <w:rsid w:val="00155694"/>
    <w:rsid w:val="00155F15"/>
    <w:rsid w:val="00155F7B"/>
    <w:rsid w:val="001560BB"/>
    <w:rsid w:val="001563FD"/>
    <w:rsid w:val="00156DB8"/>
    <w:rsid w:val="001574DA"/>
    <w:rsid w:val="00157A20"/>
    <w:rsid w:val="00157D35"/>
    <w:rsid w:val="00160170"/>
    <w:rsid w:val="001613A2"/>
    <w:rsid w:val="00161CD0"/>
    <w:rsid w:val="001645DF"/>
    <w:rsid w:val="001651AD"/>
    <w:rsid w:val="0016523E"/>
    <w:rsid w:val="00165F64"/>
    <w:rsid w:val="001664FF"/>
    <w:rsid w:val="00166F00"/>
    <w:rsid w:val="001707FF"/>
    <w:rsid w:val="00170935"/>
    <w:rsid w:val="00171056"/>
    <w:rsid w:val="00171DC8"/>
    <w:rsid w:val="0017245E"/>
    <w:rsid w:val="00172D41"/>
    <w:rsid w:val="00174216"/>
    <w:rsid w:val="001747F5"/>
    <w:rsid w:val="00174F7A"/>
    <w:rsid w:val="00174FDF"/>
    <w:rsid w:val="00175968"/>
    <w:rsid w:val="00176114"/>
    <w:rsid w:val="001765E9"/>
    <w:rsid w:val="00176A8D"/>
    <w:rsid w:val="00180531"/>
    <w:rsid w:val="00181755"/>
    <w:rsid w:val="0018251E"/>
    <w:rsid w:val="00182A1C"/>
    <w:rsid w:val="001841DB"/>
    <w:rsid w:val="0018429B"/>
    <w:rsid w:val="0018436C"/>
    <w:rsid w:val="001849D3"/>
    <w:rsid w:val="0018509C"/>
    <w:rsid w:val="00185913"/>
    <w:rsid w:val="00186834"/>
    <w:rsid w:val="00187E37"/>
    <w:rsid w:val="001908F7"/>
    <w:rsid w:val="00190FF6"/>
    <w:rsid w:val="00191AC5"/>
    <w:rsid w:val="00192629"/>
    <w:rsid w:val="00192D7D"/>
    <w:rsid w:val="00193057"/>
    <w:rsid w:val="001930BD"/>
    <w:rsid w:val="00193A77"/>
    <w:rsid w:val="00193F47"/>
    <w:rsid w:val="001952BF"/>
    <w:rsid w:val="00195500"/>
    <w:rsid w:val="00195BE1"/>
    <w:rsid w:val="0019643F"/>
    <w:rsid w:val="001967BD"/>
    <w:rsid w:val="00196E3B"/>
    <w:rsid w:val="00197278"/>
    <w:rsid w:val="00197C02"/>
    <w:rsid w:val="001A0400"/>
    <w:rsid w:val="001A1E7D"/>
    <w:rsid w:val="001A21B0"/>
    <w:rsid w:val="001A27ED"/>
    <w:rsid w:val="001A28DD"/>
    <w:rsid w:val="001A2ECF"/>
    <w:rsid w:val="001A429C"/>
    <w:rsid w:val="001A58E6"/>
    <w:rsid w:val="001A692E"/>
    <w:rsid w:val="001B09D4"/>
    <w:rsid w:val="001B1045"/>
    <w:rsid w:val="001B10F9"/>
    <w:rsid w:val="001B1C21"/>
    <w:rsid w:val="001B1D19"/>
    <w:rsid w:val="001B3303"/>
    <w:rsid w:val="001B3630"/>
    <w:rsid w:val="001B41C9"/>
    <w:rsid w:val="001B4E9F"/>
    <w:rsid w:val="001B5CEE"/>
    <w:rsid w:val="001B62BE"/>
    <w:rsid w:val="001B69F8"/>
    <w:rsid w:val="001B7213"/>
    <w:rsid w:val="001B7425"/>
    <w:rsid w:val="001B757B"/>
    <w:rsid w:val="001B7802"/>
    <w:rsid w:val="001B7AFD"/>
    <w:rsid w:val="001B7B1D"/>
    <w:rsid w:val="001C0069"/>
    <w:rsid w:val="001C0241"/>
    <w:rsid w:val="001C141F"/>
    <w:rsid w:val="001C187A"/>
    <w:rsid w:val="001C1A53"/>
    <w:rsid w:val="001C2080"/>
    <w:rsid w:val="001C25F5"/>
    <w:rsid w:val="001C397A"/>
    <w:rsid w:val="001C3F36"/>
    <w:rsid w:val="001C412D"/>
    <w:rsid w:val="001C41E1"/>
    <w:rsid w:val="001C41EC"/>
    <w:rsid w:val="001C47B4"/>
    <w:rsid w:val="001C4B18"/>
    <w:rsid w:val="001C56E5"/>
    <w:rsid w:val="001C5920"/>
    <w:rsid w:val="001C5C86"/>
    <w:rsid w:val="001D0041"/>
    <w:rsid w:val="001D1D80"/>
    <w:rsid w:val="001D1EF3"/>
    <w:rsid w:val="001D358F"/>
    <w:rsid w:val="001D373A"/>
    <w:rsid w:val="001D4B9E"/>
    <w:rsid w:val="001D5E35"/>
    <w:rsid w:val="001D601E"/>
    <w:rsid w:val="001D6BE8"/>
    <w:rsid w:val="001D7AC4"/>
    <w:rsid w:val="001E0929"/>
    <w:rsid w:val="001E099C"/>
    <w:rsid w:val="001E1134"/>
    <w:rsid w:val="001E227B"/>
    <w:rsid w:val="001E3144"/>
    <w:rsid w:val="001E4778"/>
    <w:rsid w:val="001E50EA"/>
    <w:rsid w:val="001E55DC"/>
    <w:rsid w:val="001E56F3"/>
    <w:rsid w:val="001E57B8"/>
    <w:rsid w:val="001E6522"/>
    <w:rsid w:val="001E679B"/>
    <w:rsid w:val="001E7A75"/>
    <w:rsid w:val="001E7E31"/>
    <w:rsid w:val="001F0D13"/>
    <w:rsid w:val="001F10AE"/>
    <w:rsid w:val="001F1474"/>
    <w:rsid w:val="001F2555"/>
    <w:rsid w:val="001F4AC0"/>
    <w:rsid w:val="001F5185"/>
    <w:rsid w:val="001F5C8B"/>
    <w:rsid w:val="001F6284"/>
    <w:rsid w:val="001F62D2"/>
    <w:rsid w:val="001F715E"/>
    <w:rsid w:val="0020118D"/>
    <w:rsid w:val="00201886"/>
    <w:rsid w:val="00201DA4"/>
    <w:rsid w:val="00202909"/>
    <w:rsid w:val="00202C4D"/>
    <w:rsid w:val="002036E2"/>
    <w:rsid w:val="00203BA8"/>
    <w:rsid w:val="002046C7"/>
    <w:rsid w:val="00204CAD"/>
    <w:rsid w:val="0020597E"/>
    <w:rsid w:val="00207B3F"/>
    <w:rsid w:val="0021021E"/>
    <w:rsid w:val="00210450"/>
    <w:rsid w:val="00210D49"/>
    <w:rsid w:val="002113C8"/>
    <w:rsid w:val="00211CC4"/>
    <w:rsid w:val="00212B6D"/>
    <w:rsid w:val="00214E54"/>
    <w:rsid w:val="00214EF6"/>
    <w:rsid w:val="00215063"/>
    <w:rsid w:val="00215CD3"/>
    <w:rsid w:val="00216E72"/>
    <w:rsid w:val="00216FBA"/>
    <w:rsid w:val="00217151"/>
    <w:rsid w:val="00217E48"/>
    <w:rsid w:val="00217FCB"/>
    <w:rsid w:val="002203A9"/>
    <w:rsid w:val="00220BE2"/>
    <w:rsid w:val="00221C2F"/>
    <w:rsid w:val="00221F1B"/>
    <w:rsid w:val="00222692"/>
    <w:rsid w:val="002240F5"/>
    <w:rsid w:val="002247F0"/>
    <w:rsid w:val="0022564C"/>
    <w:rsid w:val="00226F10"/>
    <w:rsid w:val="00230429"/>
    <w:rsid w:val="002306F3"/>
    <w:rsid w:val="00230F91"/>
    <w:rsid w:val="00232307"/>
    <w:rsid w:val="002328EE"/>
    <w:rsid w:val="0023395F"/>
    <w:rsid w:val="002341B2"/>
    <w:rsid w:val="002341CD"/>
    <w:rsid w:val="002345C8"/>
    <w:rsid w:val="002348B1"/>
    <w:rsid w:val="00235AC6"/>
    <w:rsid w:val="00235B28"/>
    <w:rsid w:val="00237627"/>
    <w:rsid w:val="00237918"/>
    <w:rsid w:val="00237C6C"/>
    <w:rsid w:val="00237D64"/>
    <w:rsid w:val="00240B1B"/>
    <w:rsid w:val="0024184E"/>
    <w:rsid w:val="00241913"/>
    <w:rsid w:val="00241AA9"/>
    <w:rsid w:val="00241CE1"/>
    <w:rsid w:val="00241E63"/>
    <w:rsid w:val="00242426"/>
    <w:rsid w:val="00242EDC"/>
    <w:rsid w:val="00242EE6"/>
    <w:rsid w:val="0024311E"/>
    <w:rsid w:val="00243628"/>
    <w:rsid w:val="00243C34"/>
    <w:rsid w:val="00245387"/>
    <w:rsid w:val="0024682D"/>
    <w:rsid w:val="00247DBA"/>
    <w:rsid w:val="002508AA"/>
    <w:rsid w:val="0025120F"/>
    <w:rsid w:val="00251679"/>
    <w:rsid w:val="00251A20"/>
    <w:rsid w:val="00251B82"/>
    <w:rsid w:val="00253763"/>
    <w:rsid w:val="002543E7"/>
    <w:rsid w:val="0025601C"/>
    <w:rsid w:val="00256F7E"/>
    <w:rsid w:val="002570E7"/>
    <w:rsid w:val="00257666"/>
    <w:rsid w:val="002578A3"/>
    <w:rsid w:val="002608C9"/>
    <w:rsid w:val="00260A21"/>
    <w:rsid w:val="00260A79"/>
    <w:rsid w:val="00261762"/>
    <w:rsid w:val="00262BA3"/>
    <w:rsid w:val="002633EE"/>
    <w:rsid w:val="00264853"/>
    <w:rsid w:val="002649B2"/>
    <w:rsid w:val="00265158"/>
    <w:rsid w:val="00265D26"/>
    <w:rsid w:val="00266CC8"/>
    <w:rsid w:val="0026704A"/>
    <w:rsid w:val="00267628"/>
    <w:rsid w:val="002676C4"/>
    <w:rsid w:val="00267D23"/>
    <w:rsid w:val="00270603"/>
    <w:rsid w:val="002709BA"/>
    <w:rsid w:val="002709D4"/>
    <w:rsid w:val="00271189"/>
    <w:rsid w:val="00271BE5"/>
    <w:rsid w:val="00271C79"/>
    <w:rsid w:val="00273581"/>
    <w:rsid w:val="00273768"/>
    <w:rsid w:val="00274227"/>
    <w:rsid w:val="00274F38"/>
    <w:rsid w:val="00275865"/>
    <w:rsid w:val="002759A0"/>
    <w:rsid w:val="0027659F"/>
    <w:rsid w:val="00276618"/>
    <w:rsid w:val="00276654"/>
    <w:rsid w:val="00277757"/>
    <w:rsid w:val="00277B89"/>
    <w:rsid w:val="00280632"/>
    <w:rsid w:val="00280A3C"/>
    <w:rsid w:val="00281475"/>
    <w:rsid w:val="002827F0"/>
    <w:rsid w:val="00283B13"/>
    <w:rsid w:val="00283B19"/>
    <w:rsid w:val="0028465F"/>
    <w:rsid w:val="00284E3B"/>
    <w:rsid w:val="002851DE"/>
    <w:rsid w:val="00286B83"/>
    <w:rsid w:val="0028702E"/>
    <w:rsid w:val="002879D9"/>
    <w:rsid w:val="00287D06"/>
    <w:rsid w:val="002908CA"/>
    <w:rsid w:val="00290C6C"/>
    <w:rsid w:val="00290FA9"/>
    <w:rsid w:val="002932AD"/>
    <w:rsid w:val="002945DA"/>
    <w:rsid w:val="00294741"/>
    <w:rsid w:val="002956AD"/>
    <w:rsid w:val="00295891"/>
    <w:rsid w:val="00297756"/>
    <w:rsid w:val="00297B5C"/>
    <w:rsid w:val="002A0D58"/>
    <w:rsid w:val="002A1228"/>
    <w:rsid w:val="002A1D86"/>
    <w:rsid w:val="002A21B6"/>
    <w:rsid w:val="002A2F54"/>
    <w:rsid w:val="002A32F9"/>
    <w:rsid w:val="002A53BA"/>
    <w:rsid w:val="002A5466"/>
    <w:rsid w:val="002A54C0"/>
    <w:rsid w:val="002A5853"/>
    <w:rsid w:val="002A5C68"/>
    <w:rsid w:val="002A7C71"/>
    <w:rsid w:val="002B1CC4"/>
    <w:rsid w:val="002B2607"/>
    <w:rsid w:val="002B2EA6"/>
    <w:rsid w:val="002B41C4"/>
    <w:rsid w:val="002B7D04"/>
    <w:rsid w:val="002C01EA"/>
    <w:rsid w:val="002C13F3"/>
    <w:rsid w:val="002C1968"/>
    <w:rsid w:val="002C328E"/>
    <w:rsid w:val="002C4415"/>
    <w:rsid w:val="002C4668"/>
    <w:rsid w:val="002C4AAA"/>
    <w:rsid w:val="002C7055"/>
    <w:rsid w:val="002C785F"/>
    <w:rsid w:val="002C7F7C"/>
    <w:rsid w:val="002D00AB"/>
    <w:rsid w:val="002D042F"/>
    <w:rsid w:val="002D1666"/>
    <w:rsid w:val="002D4CAB"/>
    <w:rsid w:val="002D4E69"/>
    <w:rsid w:val="002D4FC6"/>
    <w:rsid w:val="002D5433"/>
    <w:rsid w:val="002D57F1"/>
    <w:rsid w:val="002D59D1"/>
    <w:rsid w:val="002D614E"/>
    <w:rsid w:val="002D68D9"/>
    <w:rsid w:val="002D6FB6"/>
    <w:rsid w:val="002E0E00"/>
    <w:rsid w:val="002E1D2E"/>
    <w:rsid w:val="002E2009"/>
    <w:rsid w:val="002E26D3"/>
    <w:rsid w:val="002E550C"/>
    <w:rsid w:val="002E6F1C"/>
    <w:rsid w:val="002E6F8F"/>
    <w:rsid w:val="002E729F"/>
    <w:rsid w:val="002E7335"/>
    <w:rsid w:val="002E73DE"/>
    <w:rsid w:val="002E78B0"/>
    <w:rsid w:val="002E7D55"/>
    <w:rsid w:val="002F19D3"/>
    <w:rsid w:val="002F2646"/>
    <w:rsid w:val="002F26A2"/>
    <w:rsid w:val="002F2E55"/>
    <w:rsid w:val="002F36D4"/>
    <w:rsid w:val="002F3BFD"/>
    <w:rsid w:val="002F48BD"/>
    <w:rsid w:val="002F5809"/>
    <w:rsid w:val="002F5B5E"/>
    <w:rsid w:val="002F5F16"/>
    <w:rsid w:val="002F6EFA"/>
    <w:rsid w:val="002F74E7"/>
    <w:rsid w:val="002F78BF"/>
    <w:rsid w:val="00300603"/>
    <w:rsid w:val="00300EFA"/>
    <w:rsid w:val="00301334"/>
    <w:rsid w:val="003037CC"/>
    <w:rsid w:val="003058BE"/>
    <w:rsid w:val="003066D1"/>
    <w:rsid w:val="00306E53"/>
    <w:rsid w:val="00307DF8"/>
    <w:rsid w:val="003102E1"/>
    <w:rsid w:val="00310D8B"/>
    <w:rsid w:val="00310FA1"/>
    <w:rsid w:val="00311327"/>
    <w:rsid w:val="003113F8"/>
    <w:rsid w:val="00311575"/>
    <w:rsid w:val="0031168D"/>
    <w:rsid w:val="00312BC4"/>
    <w:rsid w:val="00313393"/>
    <w:rsid w:val="00313AA0"/>
    <w:rsid w:val="003148F4"/>
    <w:rsid w:val="00314BE4"/>
    <w:rsid w:val="00315DAD"/>
    <w:rsid w:val="0031612E"/>
    <w:rsid w:val="00316B36"/>
    <w:rsid w:val="00316E6B"/>
    <w:rsid w:val="003171ED"/>
    <w:rsid w:val="00317CC5"/>
    <w:rsid w:val="00320B36"/>
    <w:rsid w:val="00321CEA"/>
    <w:rsid w:val="00321E06"/>
    <w:rsid w:val="0032281B"/>
    <w:rsid w:val="003231C2"/>
    <w:rsid w:val="00323863"/>
    <w:rsid w:val="003241F4"/>
    <w:rsid w:val="003243C0"/>
    <w:rsid w:val="0032450D"/>
    <w:rsid w:val="00324F10"/>
    <w:rsid w:val="003252CD"/>
    <w:rsid w:val="003257E5"/>
    <w:rsid w:val="00326B23"/>
    <w:rsid w:val="00326ED4"/>
    <w:rsid w:val="00330054"/>
    <w:rsid w:val="003300EE"/>
    <w:rsid w:val="003310C5"/>
    <w:rsid w:val="00332487"/>
    <w:rsid w:val="0033276C"/>
    <w:rsid w:val="00332849"/>
    <w:rsid w:val="00332FFE"/>
    <w:rsid w:val="003332CC"/>
    <w:rsid w:val="003338DE"/>
    <w:rsid w:val="00334154"/>
    <w:rsid w:val="003345A9"/>
    <w:rsid w:val="00334BCB"/>
    <w:rsid w:val="0033569F"/>
    <w:rsid w:val="00335B98"/>
    <w:rsid w:val="00335CA6"/>
    <w:rsid w:val="00337006"/>
    <w:rsid w:val="003371B0"/>
    <w:rsid w:val="0034045A"/>
    <w:rsid w:val="00342517"/>
    <w:rsid w:val="003433A3"/>
    <w:rsid w:val="00343576"/>
    <w:rsid w:val="003437B8"/>
    <w:rsid w:val="00343CF7"/>
    <w:rsid w:val="00343E80"/>
    <w:rsid w:val="00344AB7"/>
    <w:rsid w:val="0034568E"/>
    <w:rsid w:val="00345923"/>
    <w:rsid w:val="00345AA7"/>
    <w:rsid w:val="003465B2"/>
    <w:rsid w:val="003466F5"/>
    <w:rsid w:val="00346908"/>
    <w:rsid w:val="00346DAF"/>
    <w:rsid w:val="0034786D"/>
    <w:rsid w:val="00350931"/>
    <w:rsid w:val="00350C53"/>
    <w:rsid w:val="003515F6"/>
    <w:rsid w:val="0035261C"/>
    <w:rsid w:val="00353572"/>
    <w:rsid w:val="00355246"/>
    <w:rsid w:val="00355515"/>
    <w:rsid w:val="00356FAC"/>
    <w:rsid w:val="003577C4"/>
    <w:rsid w:val="00360D42"/>
    <w:rsid w:val="00360DD0"/>
    <w:rsid w:val="00360F71"/>
    <w:rsid w:val="003616BB"/>
    <w:rsid w:val="00361EF2"/>
    <w:rsid w:val="00362145"/>
    <w:rsid w:val="00362773"/>
    <w:rsid w:val="00365721"/>
    <w:rsid w:val="0036649E"/>
    <w:rsid w:val="003665FC"/>
    <w:rsid w:val="003674D0"/>
    <w:rsid w:val="0037087C"/>
    <w:rsid w:val="00371807"/>
    <w:rsid w:val="00372055"/>
    <w:rsid w:val="00372CAE"/>
    <w:rsid w:val="003733F1"/>
    <w:rsid w:val="00374F3A"/>
    <w:rsid w:val="00375E65"/>
    <w:rsid w:val="00376857"/>
    <w:rsid w:val="00377015"/>
    <w:rsid w:val="00377F6C"/>
    <w:rsid w:val="0038020B"/>
    <w:rsid w:val="00380E0D"/>
    <w:rsid w:val="0038180B"/>
    <w:rsid w:val="003818B3"/>
    <w:rsid w:val="00383038"/>
    <w:rsid w:val="00384195"/>
    <w:rsid w:val="003845E6"/>
    <w:rsid w:val="003848EB"/>
    <w:rsid w:val="00384E88"/>
    <w:rsid w:val="003855BD"/>
    <w:rsid w:val="003856C6"/>
    <w:rsid w:val="00385912"/>
    <w:rsid w:val="00386331"/>
    <w:rsid w:val="00386BFA"/>
    <w:rsid w:val="0038708C"/>
    <w:rsid w:val="0039014A"/>
    <w:rsid w:val="0039037A"/>
    <w:rsid w:val="00390C3C"/>
    <w:rsid w:val="00390CF4"/>
    <w:rsid w:val="00391D91"/>
    <w:rsid w:val="00392008"/>
    <w:rsid w:val="00393595"/>
    <w:rsid w:val="00393961"/>
    <w:rsid w:val="00393A72"/>
    <w:rsid w:val="003944E5"/>
    <w:rsid w:val="00394698"/>
    <w:rsid w:val="003960BC"/>
    <w:rsid w:val="00396204"/>
    <w:rsid w:val="00396D67"/>
    <w:rsid w:val="003971D8"/>
    <w:rsid w:val="0039732B"/>
    <w:rsid w:val="00397850"/>
    <w:rsid w:val="00397ECD"/>
    <w:rsid w:val="003A1380"/>
    <w:rsid w:val="003A190E"/>
    <w:rsid w:val="003A2F1A"/>
    <w:rsid w:val="003A373E"/>
    <w:rsid w:val="003A3AEE"/>
    <w:rsid w:val="003A4ACC"/>
    <w:rsid w:val="003A53B5"/>
    <w:rsid w:val="003A5738"/>
    <w:rsid w:val="003A5C34"/>
    <w:rsid w:val="003A785C"/>
    <w:rsid w:val="003A7BFF"/>
    <w:rsid w:val="003B08EB"/>
    <w:rsid w:val="003B095D"/>
    <w:rsid w:val="003B0F92"/>
    <w:rsid w:val="003B15CB"/>
    <w:rsid w:val="003B16A3"/>
    <w:rsid w:val="003B1BCC"/>
    <w:rsid w:val="003B21CC"/>
    <w:rsid w:val="003B2237"/>
    <w:rsid w:val="003B25DE"/>
    <w:rsid w:val="003B2D07"/>
    <w:rsid w:val="003B4414"/>
    <w:rsid w:val="003B477A"/>
    <w:rsid w:val="003B4DB5"/>
    <w:rsid w:val="003B691A"/>
    <w:rsid w:val="003B6AF7"/>
    <w:rsid w:val="003B7F9C"/>
    <w:rsid w:val="003C03E8"/>
    <w:rsid w:val="003C1AA9"/>
    <w:rsid w:val="003C2069"/>
    <w:rsid w:val="003C2C16"/>
    <w:rsid w:val="003C2FF4"/>
    <w:rsid w:val="003C3CC2"/>
    <w:rsid w:val="003C3F79"/>
    <w:rsid w:val="003C4233"/>
    <w:rsid w:val="003C50A7"/>
    <w:rsid w:val="003C5931"/>
    <w:rsid w:val="003C6829"/>
    <w:rsid w:val="003C6915"/>
    <w:rsid w:val="003C6B71"/>
    <w:rsid w:val="003C6C76"/>
    <w:rsid w:val="003C6FD9"/>
    <w:rsid w:val="003C72D9"/>
    <w:rsid w:val="003D0067"/>
    <w:rsid w:val="003D0273"/>
    <w:rsid w:val="003D0A02"/>
    <w:rsid w:val="003D1C9E"/>
    <w:rsid w:val="003D3D77"/>
    <w:rsid w:val="003D4243"/>
    <w:rsid w:val="003D425E"/>
    <w:rsid w:val="003D5F31"/>
    <w:rsid w:val="003D5FC0"/>
    <w:rsid w:val="003D6C2A"/>
    <w:rsid w:val="003D799F"/>
    <w:rsid w:val="003D7BFD"/>
    <w:rsid w:val="003E0176"/>
    <w:rsid w:val="003E0364"/>
    <w:rsid w:val="003E05C7"/>
    <w:rsid w:val="003E1837"/>
    <w:rsid w:val="003E1996"/>
    <w:rsid w:val="003E1A16"/>
    <w:rsid w:val="003E27C3"/>
    <w:rsid w:val="003E2FD8"/>
    <w:rsid w:val="003E320D"/>
    <w:rsid w:val="003E3A16"/>
    <w:rsid w:val="003E4E83"/>
    <w:rsid w:val="003E710A"/>
    <w:rsid w:val="003E7266"/>
    <w:rsid w:val="003E7301"/>
    <w:rsid w:val="003E748F"/>
    <w:rsid w:val="003F08BF"/>
    <w:rsid w:val="003F2042"/>
    <w:rsid w:val="003F3893"/>
    <w:rsid w:val="003F39F3"/>
    <w:rsid w:val="003F3C05"/>
    <w:rsid w:val="003F4543"/>
    <w:rsid w:val="003F51C2"/>
    <w:rsid w:val="003F5A21"/>
    <w:rsid w:val="003F660A"/>
    <w:rsid w:val="003F6DAD"/>
    <w:rsid w:val="003F7A5E"/>
    <w:rsid w:val="00400054"/>
    <w:rsid w:val="00401D13"/>
    <w:rsid w:val="00402115"/>
    <w:rsid w:val="00402D94"/>
    <w:rsid w:val="004030BD"/>
    <w:rsid w:val="00403142"/>
    <w:rsid w:val="0040317B"/>
    <w:rsid w:val="00403423"/>
    <w:rsid w:val="0040490C"/>
    <w:rsid w:val="00404A2C"/>
    <w:rsid w:val="00405D51"/>
    <w:rsid w:val="0040628D"/>
    <w:rsid w:val="0040659C"/>
    <w:rsid w:val="00407177"/>
    <w:rsid w:val="00407CAE"/>
    <w:rsid w:val="004114A9"/>
    <w:rsid w:val="00411B04"/>
    <w:rsid w:val="0041281A"/>
    <w:rsid w:val="00413167"/>
    <w:rsid w:val="00413286"/>
    <w:rsid w:val="00413C89"/>
    <w:rsid w:val="00413CF1"/>
    <w:rsid w:val="00414948"/>
    <w:rsid w:val="00415CEF"/>
    <w:rsid w:val="00416587"/>
    <w:rsid w:val="0041682A"/>
    <w:rsid w:val="004178E4"/>
    <w:rsid w:val="0042022E"/>
    <w:rsid w:val="004206E6"/>
    <w:rsid w:val="00420E34"/>
    <w:rsid w:val="0042116F"/>
    <w:rsid w:val="004213FF"/>
    <w:rsid w:val="0042167F"/>
    <w:rsid w:val="004221D3"/>
    <w:rsid w:val="0042317D"/>
    <w:rsid w:val="004236A5"/>
    <w:rsid w:val="0042397E"/>
    <w:rsid w:val="00423C3A"/>
    <w:rsid w:val="00425085"/>
    <w:rsid w:val="00425988"/>
    <w:rsid w:val="00425FA7"/>
    <w:rsid w:val="00426275"/>
    <w:rsid w:val="004268B1"/>
    <w:rsid w:val="00426A24"/>
    <w:rsid w:val="00431250"/>
    <w:rsid w:val="00431F9C"/>
    <w:rsid w:val="00432197"/>
    <w:rsid w:val="004321A4"/>
    <w:rsid w:val="00432556"/>
    <w:rsid w:val="004328B2"/>
    <w:rsid w:val="00432DD1"/>
    <w:rsid w:val="0043338F"/>
    <w:rsid w:val="0043570C"/>
    <w:rsid w:val="00435AE6"/>
    <w:rsid w:val="004360D7"/>
    <w:rsid w:val="0043771C"/>
    <w:rsid w:val="00440D81"/>
    <w:rsid w:val="00443BCE"/>
    <w:rsid w:val="00443CF3"/>
    <w:rsid w:val="00443DEF"/>
    <w:rsid w:val="00445DD5"/>
    <w:rsid w:val="004466B3"/>
    <w:rsid w:val="004472BC"/>
    <w:rsid w:val="00447872"/>
    <w:rsid w:val="004506C1"/>
    <w:rsid w:val="00450898"/>
    <w:rsid w:val="004509B0"/>
    <w:rsid w:val="00450F08"/>
    <w:rsid w:val="00450F93"/>
    <w:rsid w:val="00451870"/>
    <w:rsid w:val="00452351"/>
    <w:rsid w:val="00452859"/>
    <w:rsid w:val="00453CE8"/>
    <w:rsid w:val="00453EFC"/>
    <w:rsid w:val="004541A9"/>
    <w:rsid w:val="0045462E"/>
    <w:rsid w:val="00455CB0"/>
    <w:rsid w:val="0045637D"/>
    <w:rsid w:val="004568F2"/>
    <w:rsid w:val="0045717F"/>
    <w:rsid w:val="004579DA"/>
    <w:rsid w:val="00461493"/>
    <w:rsid w:val="0046381C"/>
    <w:rsid w:val="0046662D"/>
    <w:rsid w:val="0046727E"/>
    <w:rsid w:val="00470FD0"/>
    <w:rsid w:val="004714FE"/>
    <w:rsid w:val="00471693"/>
    <w:rsid w:val="00471782"/>
    <w:rsid w:val="00471ECE"/>
    <w:rsid w:val="00472E3C"/>
    <w:rsid w:val="00472EE1"/>
    <w:rsid w:val="004739BD"/>
    <w:rsid w:val="00473D2D"/>
    <w:rsid w:val="00474801"/>
    <w:rsid w:val="004751B1"/>
    <w:rsid w:val="00475A76"/>
    <w:rsid w:val="00476DD8"/>
    <w:rsid w:val="004779AF"/>
    <w:rsid w:val="004809A8"/>
    <w:rsid w:val="00480A67"/>
    <w:rsid w:val="0048146B"/>
    <w:rsid w:val="0048161A"/>
    <w:rsid w:val="00481A72"/>
    <w:rsid w:val="00482193"/>
    <w:rsid w:val="00482871"/>
    <w:rsid w:val="00482AE0"/>
    <w:rsid w:val="00483E27"/>
    <w:rsid w:val="004845E0"/>
    <w:rsid w:val="00484AE0"/>
    <w:rsid w:val="00485455"/>
    <w:rsid w:val="00485C5C"/>
    <w:rsid w:val="00486BE0"/>
    <w:rsid w:val="00486CA6"/>
    <w:rsid w:val="004919ED"/>
    <w:rsid w:val="00491C22"/>
    <w:rsid w:val="004922BA"/>
    <w:rsid w:val="00492668"/>
    <w:rsid w:val="004939EC"/>
    <w:rsid w:val="00493AFD"/>
    <w:rsid w:val="004951AB"/>
    <w:rsid w:val="00496B1D"/>
    <w:rsid w:val="004972E6"/>
    <w:rsid w:val="004A0267"/>
    <w:rsid w:val="004A12A9"/>
    <w:rsid w:val="004A1B98"/>
    <w:rsid w:val="004A1E07"/>
    <w:rsid w:val="004A2721"/>
    <w:rsid w:val="004A2791"/>
    <w:rsid w:val="004A2815"/>
    <w:rsid w:val="004A2E6B"/>
    <w:rsid w:val="004A3138"/>
    <w:rsid w:val="004A3827"/>
    <w:rsid w:val="004A487A"/>
    <w:rsid w:val="004A4CD7"/>
    <w:rsid w:val="004A54F7"/>
    <w:rsid w:val="004A5C87"/>
    <w:rsid w:val="004A7206"/>
    <w:rsid w:val="004A7B9B"/>
    <w:rsid w:val="004B113F"/>
    <w:rsid w:val="004B2337"/>
    <w:rsid w:val="004B3901"/>
    <w:rsid w:val="004B4729"/>
    <w:rsid w:val="004B4F1D"/>
    <w:rsid w:val="004B53E0"/>
    <w:rsid w:val="004B56D1"/>
    <w:rsid w:val="004B6A8E"/>
    <w:rsid w:val="004B6C17"/>
    <w:rsid w:val="004B78CE"/>
    <w:rsid w:val="004B7D01"/>
    <w:rsid w:val="004B7D74"/>
    <w:rsid w:val="004C001C"/>
    <w:rsid w:val="004C03CD"/>
    <w:rsid w:val="004C1BCE"/>
    <w:rsid w:val="004C2713"/>
    <w:rsid w:val="004C34E0"/>
    <w:rsid w:val="004C34FA"/>
    <w:rsid w:val="004C3B1A"/>
    <w:rsid w:val="004C5940"/>
    <w:rsid w:val="004C5D78"/>
    <w:rsid w:val="004C7562"/>
    <w:rsid w:val="004C78D0"/>
    <w:rsid w:val="004D047B"/>
    <w:rsid w:val="004D0939"/>
    <w:rsid w:val="004D0CBC"/>
    <w:rsid w:val="004D1299"/>
    <w:rsid w:val="004D2144"/>
    <w:rsid w:val="004D268B"/>
    <w:rsid w:val="004D3582"/>
    <w:rsid w:val="004D36C4"/>
    <w:rsid w:val="004D373C"/>
    <w:rsid w:val="004D3B28"/>
    <w:rsid w:val="004D43B8"/>
    <w:rsid w:val="004D45B9"/>
    <w:rsid w:val="004D53CC"/>
    <w:rsid w:val="004D59AE"/>
    <w:rsid w:val="004D64D9"/>
    <w:rsid w:val="004D6778"/>
    <w:rsid w:val="004D6C25"/>
    <w:rsid w:val="004D6EDD"/>
    <w:rsid w:val="004D7153"/>
    <w:rsid w:val="004D77C2"/>
    <w:rsid w:val="004D7A33"/>
    <w:rsid w:val="004E0422"/>
    <w:rsid w:val="004E1250"/>
    <w:rsid w:val="004E1B7A"/>
    <w:rsid w:val="004E2240"/>
    <w:rsid w:val="004E2B2C"/>
    <w:rsid w:val="004E2BBF"/>
    <w:rsid w:val="004E3828"/>
    <w:rsid w:val="004E38DB"/>
    <w:rsid w:val="004E3CDF"/>
    <w:rsid w:val="004E44A1"/>
    <w:rsid w:val="004E505B"/>
    <w:rsid w:val="004E5AF5"/>
    <w:rsid w:val="004E6213"/>
    <w:rsid w:val="004E6B33"/>
    <w:rsid w:val="004E6DA9"/>
    <w:rsid w:val="004E724F"/>
    <w:rsid w:val="004E7636"/>
    <w:rsid w:val="004F0128"/>
    <w:rsid w:val="004F045F"/>
    <w:rsid w:val="004F09B6"/>
    <w:rsid w:val="004F0D0F"/>
    <w:rsid w:val="004F0F5C"/>
    <w:rsid w:val="004F20EC"/>
    <w:rsid w:val="004F3B0C"/>
    <w:rsid w:val="004F3E0F"/>
    <w:rsid w:val="004F4141"/>
    <w:rsid w:val="004F4EC3"/>
    <w:rsid w:val="004F56E9"/>
    <w:rsid w:val="004F6A1E"/>
    <w:rsid w:val="004F72A2"/>
    <w:rsid w:val="005003F5"/>
    <w:rsid w:val="00500778"/>
    <w:rsid w:val="00500D8F"/>
    <w:rsid w:val="00501578"/>
    <w:rsid w:val="0050296F"/>
    <w:rsid w:val="005048C3"/>
    <w:rsid w:val="00504C97"/>
    <w:rsid w:val="00505DC5"/>
    <w:rsid w:val="00506C06"/>
    <w:rsid w:val="005102CF"/>
    <w:rsid w:val="0051143A"/>
    <w:rsid w:val="00511696"/>
    <w:rsid w:val="00511CF4"/>
    <w:rsid w:val="00511E88"/>
    <w:rsid w:val="00512242"/>
    <w:rsid w:val="00512D93"/>
    <w:rsid w:val="005135B4"/>
    <w:rsid w:val="00514289"/>
    <w:rsid w:val="00514C0E"/>
    <w:rsid w:val="00515437"/>
    <w:rsid w:val="00515463"/>
    <w:rsid w:val="0051657B"/>
    <w:rsid w:val="0051703E"/>
    <w:rsid w:val="00517E14"/>
    <w:rsid w:val="005221C9"/>
    <w:rsid w:val="005221CC"/>
    <w:rsid w:val="0052336E"/>
    <w:rsid w:val="005242C5"/>
    <w:rsid w:val="005244C0"/>
    <w:rsid w:val="00524A09"/>
    <w:rsid w:val="005252BC"/>
    <w:rsid w:val="0052577E"/>
    <w:rsid w:val="0052732C"/>
    <w:rsid w:val="005273EC"/>
    <w:rsid w:val="00527793"/>
    <w:rsid w:val="00527EB5"/>
    <w:rsid w:val="00530A8A"/>
    <w:rsid w:val="0053137B"/>
    <w:rsid w:val="00531546"/>
    <w:rsid w:val="00531697"/>
    <w:rsid w:val="00531973"/>
    <w:rsid w:val="005326F5"/>
    <w:rsid w:val="0053281F"/>
    <w:rsid w:val="0053284E"/>
    <w:rsid w:val="0053314F"/>
    <w:rsid w:val="00533F8B"/>
    <w:rsid w:val="00534B69"/>
    <w:rsid w:val="00537128"/>
    <w:rsid w:val="005375C4"/>
    <w:rsid w:val="00540392"/>
    <w:rsid w:val="00540470"/>
    <w:rsid w:val="00541671"/>
    <w:rsid w:val="0054171B"/>
    <w:rsid w:val="005433AE"/>
    <w:rsid w:val="0054368B"/>
    <w:rsid w:val="00543751"/>
    <w:rsid w:val="00543BAA"/>
    <w:rsid w:val="005440A6"/>
    <w:rsid w:val="0054448F"/>
    <w:rsid w:val="00544E8F"/>
    <w:rsid w:val="00545944"/>
    <w:rsid w:val="00545983"/>
    <w:rsid w:val="00545BEF"/>
    <w:rsid w:val="00545EA1"/>
    <w:rsid w:val="005469B2"/>
    <w:rsid w:val="0054775E"/>
    <w:rsid w:val="00551241"/>
    <w:rsid w:val="005515C6"/>
    <w:rsid w:val="00551940"/>
    <w:rsid w:val="00551A9C"/>
    <w:rsid w:val="00551C4C"/>
    <w:rsid w:val="00551E64"/>
    <w:rsid w:val="00551EEF"/>
    <w:rsid w:val="005528F7"/>
    <w:rsid w:val="00553B22"/>
    <w:rsid w:val="00553EB4"/>
    <w:rsid w:val="00554196"/>
    <w:rsid w:val="00554458"/>
    <w:rsid w:val="0055602D"/>
    <w:rsid w:val="00557449"/>
    <w:rsid w:val="00557820"/>
    <w:rsid w:val="00557D10"/>
    <w:rsid w:val="00560DA4"/>
    <w:rsid w:val="00560F2A"/>
    <w:rsid w:val="0056294B"/>
    <w:rsid w:val="00562D08"/>
    <w:rsid w:val="005641D0"/>
    <w:rsid w:val="00564485"/>
    <w:rsid w:val="00564CFF"/>
    <w:rsid w:val="0056569F"/>
    <w:rsid w:val="00565723"/>
    <w:rsid w:val="00565BBC"/>
    <w:rsid w:val="00565CE5"/>
    <w:rsid w:val="0056604F"/>
    <w:rsid w:val="005671E9"/>
    <w:rsid w:val="00567D13"/>
    <w:rsid w:val="005703E4"/>
    <w:rsid w:val="005706BA"/>
    <w:rsid w:val="00570C70"/>
    <w:rsid w:val="005717A0"/>
    <w:rsid w:val="00571BF4"/>
    <w:rsid w:val="0057270B"/>
    <w:rsid w:val="0057361F"/>
    <w:rsid w:val="005738A1"/>
    <w:rsid w:val="00575DF2"/>
    <w:rsid w:val="0057622B"/>
    <w:rsid w:val="00576A61"/>
    <w:rsid w:val="00576A9A"/>
    <w:rsid w:val="00576C3D"/>
    <w:rsid w:val="00577597"/>
    <w:rsid w:val="00577A74"/>
    <w:rsid w:val="00577BB2"/>
    <w:rsid w:val="00580939"/>
    <w:rsid w:val="005809A2"/>
    <w:rsid w:val="00581494"/>
    <w:rsid w:val="0058164A"/>
    <w:rsid w:val="00581660"/>
    <w:rsid w:val="00581DE9"/>
    <w:rsid w:val="005839F6"/>
    <w:rsid w:val="00583A88"/>
    <w:rsid w:val="00583B79"/>
    <w:rsid w:val="00584004"/>
    <w:rsid w:val="00584091"/>
    <w:rsid w:val="00585446"/>
    <w:rsid w:val="00585F9F"/>
    <w:rsid w:val="0058655F"/>
    <w:rsid w:val="005866A4"/>
    <w:rsid w:val="00586916"/>
    <w:rsid w:val="005876C8"/>
    <w:rsid w:val="00590A15"/>
    <w:rsid w:val="0059177F"/>
    <w:rsid w:val="0059198B"/>
    <w:rsid w:val="005922D3"/>
    <w:rsid w:val="00592CC5"/>
    <w:rsid w:val="00592E4A"/>
    <w:rsid w:val="0059351C"/>
    <w:rsid w:val="00593E4F"/>
    <w:rsid w:val="00594656"/>
    <w:rsid w:val="005961D8"/>
    <w:rsid w:val="00596378"/>
    <w:rsid w:val="005973DF"/>
    <w:rsid w:val="00597B18"/>
    <w:rsid w:val="00597C09"/>
    <w:rsid w:val="00597D30"/>
    <w:rsid w:val="00597F15"/>
    <w:rsid w:val="005A1FD8"/>
    <w:rsid w:val="005A30E0"/>
    <w:rsid w:val="005A3A17"/>
    <w:rsid w:val="005A6008"/>
    <w:rsid w:val="005A696C"/>
    <w:rsid w:val="005A6CC2"/>
    <w:rsid w:val="005A7ADF"/>
    <w:rsid w:val="005B0045"/>
    <w:rsid w:val="005B03BD"/>
    <w:rsid w:val="005B09F2"/>
    <w:rsid w:val="005B0B81"/>
    <w:rsid w:val="005B0FAC"/>
    <w:rsid w:val="005B1074"/>
    <w:rsid w:val="005B146B"/>
    <w:rsid w:val="005B1B9B"/>
    <w:rsid w:val="005B2CD3"/>
    <w:rsid w:val="005B3010"/>
    <w:rsid w:val="005B37DB"/>
    <w:rsid w:val="005B4049"/>
    <w:rsid w:val="005B407A"/>
    <w:rsid w:val="005B40A4"/>
    <w:rsid w:val="005B4162"/>
    <w:rsid w:val="005B44D2"/>
    <w:rsid w:val="005B492D"/>
    <w:rsid w:val="005B5A2D"/>
    <w:rsid w:val="005B5A99"/>
    <w:rsid w:val="005B5FE7"/>
    <w:rsid w:val="005B6790"/>
    <w:rsid w:val="005B6F69"/>
    <w:rsid w:val="005B7B7D"/>
    <w:rsid w:val="005B7CA0"/>
    <w:rsid w:val="005C13AB"/>
    <w:rsid w:val="005C200B"/>
    <w:rsid w:val="005C2257"/>
    <w:rsid w:val="005C2DDC"/>
    <w:rsid w:val="005C3023"/>
    <w:rsid w:val="005C54DA"/>
    <w:rsid w:val="005C5BBC"/>
    <w:rsid w:val="005C648A"/>
    <w:rsid w:val="005C6BBF"/>
    <w:rsid w:val="005C73FF"/>
    <w:rsid w:val="005D03E6"/>
    <w:rsid w:val="005D10BE"/>
    <w:rsid w:val="005D1930"/>
    <w:rsid w:val="005D1D36"/>
    <w:rsid w:val="005D2350"/>
    <w:rsid w:val="005D2636"/>
    <w:rsid w:val="005D2785"/>
    <w:rsid w:val="005D4865"/>
    <w:rsid w:val="005D4AEC"/>
    <w:rsid w:val="005D4E79"/>
    <w:rsid w:val="005D6014"/>
    <w:rsid w:val="005D623E"/>
    <w:rsid w:val="005D6A6D"/>
    <w:rsid w:val="005D7734"/>
    <w:rsid w:val="005E18A9"/>
    <w:rsid w:val="005E18B0"/>
    <w:rsid w:val="005E1AFE"/>
    <w:rsid w:val="005E1EE1"/>
    <w:rsid w:val="005E24FB"/>
    <w:rsid w:val="005E26F7"/>
    <w:rsid w:val="005E2D4B"/>
    <w:rsid w:val="005E35CB"/>
    <w:rsid w:val="005E3679"/>
    <w:rsid w:val="005E46E7"/>
    <w:rsid w:val="005E4C09"/>
    <w:rsid w:val="005E594A"/>
    <w:rsid w:val="005E6076"/>
    <w:rsid w:val="005E6427"/>
    <w:rsid w:val="005E65A9"/>
    <w:rsid w:val="005E65AF"/>
    <w:rsid w:val="005E6A07"/>
    <w:rsid w:val="005E6DD2"/>
    <w:rsid w:val="005F02B5"/>
    <w:rsid w:val="005F2315"/>
    <w:rsid w:val="005F2420"/>
    <w:rsid w:val="005F2848"/>
    <w:rsid w:val="005F2E0B"/>
    <w:rsid w:val="005F333C"/>
    <w:rsid w:val="005F3733"/>
    <w:rsid w:val="005F4194"/>
    <w:rsid w:val="005F455A"/>
    <w:rsid w:val="005F48DE"/>
    <w:rsid w:val="005F52B7"/>
    <w:rsid w:val="005F5337"/>
    <w:rsid w:val="005F5688"/>
    <w:rsid w:val="005F6E67"/>
    <w:rsid w:val="005F704C"/>
    <w:rsid w:val="005F7062"/>
    <w:rsid w:val="005F7BD9"/>
    <w:rsid w:val="006013B8"/>
    <w:rsid w:val="0060161F"/>
    <w:rsid w:val="00602282"/>
    <w:rsid w:val="00603BA8"/>
    <w:rsid w:val="006049AE"/>
    <w:rsid w:val="00604D45"/>
    <w:rsid w:val="00605AC5"/>
    <w:rsid w:val="0060678B"/>
    <w:rsid w:val="0061115A"/>
    <w:rsid w:val="00611714"/>
    <w:rsid w:val="0061194D"/>
    <w:rsid w:val="00611D56"/>
    <w:rsid w:val="0061250B"/>
    <w:rsid w:val="006132B0"/>
    <w:rsid w:val="00613E53"/>
    <w:rsid w:val="00614443"/>
    <w:rsid w:val="00614B2E"/>
    <w:rsid w:val="00615A09"/>
    <w:rsid w:val="00616388"/>
    <w:rsid w:val="0061651B"/>
    <w:rsid w:val="00616705"/>
    <w:rsid w:val="00616A60"/>
    <w:rsid w:val="0061764F"/>
    <w:rsid w:val="00617E62"/>
    <w:rsid w:val="00620377"/>
    <w:rsid w:val="006217A8"/>
    <w:rsid w:val="00622F4A"/>
    <w:rsid w:val="006235DE"/>
    <w:rsid w:val="00624CAA"/>
    <w:rsid w:val="00624E13"/>
    <w:rsid w:val="00626DCB"/>
    <w:rsid w:val="00627367"/>
    <w:rsid w:val="00627C90"/>
    <w:rsid w:val="00631A07"/>
    <w:rsid w:val="00632027"/>
    <w:rsid w:val="00632E1A"/>
    <w:rsid w:val="006341B0"/>
    <w:rsid w:val="00634707"/>
    <w:rsid w:val="00634D92"/>
    <w:rsid w:val="00634EE5"/>
    <w:rsid w:val="00635A6B"/>
    <w:rsid w:val="006360E8"/>
    <w:rsid w:val="006364E3"/>
    <w:rsid w:val="00641139"/>
    <w:rsid w:val="0064148F"/>
    <w:rsid w:val="00641499"/>
    <w:rsid w:val="0064218E"/>
    <w:rsid w:val="00642712"/>
    <w:rsid w:val="00642B7A"/>
    <w:rsid w:val="00642FCF"/>
    <w:rsid w:val="0064497C"/>
    <w:rsid w:val="00644C55"/>
    <w:rsid w:val="00645231"/>
    <w:rsid w:val="006457FC"/>
    <w:rsid w:val="00646315"/>
    <w:rsid w:val="006464A2"/>
    <w:rsid w:val="006468CA"/>
    <w:rsid w:val="00646D3E"/>
    <w:rsid w:val="006506B4"/>
    <w:rsid w:val="00650AB3"/>
    <w:rsid w:val="00651615"/>
    <w:rsid w:val="00652178"/>
    <w:rsid w:val="00652C91"/>
    <w:rsid w:val="006532EA"/>
    <w:rsid w:val="0065440E"/>
    <w:rsid w:val="0065475E"/>
    <w:rsid w:val="00654C2B"/>
    <w:rsid w:val="0065506A"/>
    <w:rsid w:val="00656643"/>
    <w:rsid w:val="006572EB"/>
    <w:rsid w:val="006573E4"/>
    <w:rsid w:val="006574D1"/>
    <w:rsid w:val="00657949"/>
    <w:rsid w:val="00657AB3"/>
    <w:rsid w:val="00660019"/>
    <w:rsid w:val="00660DC9"/>
    <w:rsid w:val="00661D46"/>
    <w:rsid w:val="00661F0D"/>
    <w:rsid w:val="00662976"/>
    <w:rsid w:val="00662AFA"/>
    <w:rsid w:val="00663D80"/>
    <w:rsid w:val="00664699"/>
    <w:rsid w:val="006647C0"/>
    <w:rsid w:val="006650A0"/>
    <w:rsid w:val="006651D1"/>
    <w:rsid w:val="00667629"/>
    <w:rsid w:val="0067266B"/>
    <w:rsid w:val="006745CF"/>
    <w:rsid w:val="00676412"/>
    <w:rsid w:val="00677869"/>
    <w:rsid w:val="00680167"/>
    <w:rsid w:val="006802AA"/>
    <w:rsid w:val="00680A33"/>
    <w:rsid w:val="00680E80"/>
    <w:rsid w:val="00681006"/>
    <w:rsid w:val="0068112F"/>
    <w:rsid w:val="00681B51"/>
    <w:rsid w:val="00682587"/>
    <w:rsid w:val="00683AEB"/>
    <w:rsid w:val="00683D3A"/>
    <w:rsid w:val="00684224"/>
    <w:rsid w:val="00684AD2"/>
    <w:rsid w:val="00684FE7"/>
    <w:rsid w:val="006851BF"/>
    <w:rsid w:val="0068568B"/>
    <w:rsid w:val="00685A61"/>
    <w:rsid w:val="00685BD9"/>
    <w:rsid w:val="00685CDB"/>
    <w:rsid w:val="00685D13"/>
    <w:rsid w:val="0068619C"/>
    <w:rsid w:val="0068628D"/>
    <w:rsid w:val="00686B07"/>
    <w:rsid w:val="00687196"/>
    <w:rsid w:val="00687334"/>
    <w:rsid w:val="00692448"/>
    <w:rsid w:val="00692623"/>
    <w:rsid w:val="00694195"/>
    <w:rsid w:val="00694355"/>
    <w:rsid w:val="0069472F"/>
    <w:rsid w:val="00695B0A"/>
    <w:rsid w:val="00696C77"/>
    <w:rsid w:val="00697977"/>
    <w:rsid w:val="006A15B4"/>
    <w:rsid w:val="006A1744"/>
    <w:rsid w:val="006A218B"/>
    <w:rsid w:val="006A2462"/>
    <w:rsid w:val="006A270B"/>
    <w:rsid w:val="006A28A6"/>
    <w:rsid w:val="006A2CB7"/>
    <w:rsid w:val="006A430E"/>
    <w:rsid w:val="006A5259"/>
    <w:rsid w:val="006A5AAE"/>
    <w:rsid w:val="006A5EC0"/>
    <w:rsid w:val="006A642C"/>
    <w:rsid w:val="006A7132"/>
    <w:rsid w:val="006A72E8"/>
    <w:rsid w:val="006A7405"/>
    <w:rsid w:val="006A782F"/>
    <w:rsid w:val="006A7B1F"/>
    <w:rsid w:val="006A7EB8"/>
    <w:rsid w:val="006B0051"/>
    <w:rsid w:val="006B00DC"/>
    <w:rsid w:val="006B038A"/>
    <w:rsid w:val="006B0A33"/>
    <w:rsid w:val="006B12E7"/>
    <w:rsid w:val="006B1868"/>
    <w:rsid w:val="006B4214"/>
    <w:rsid w:val="006B50C0"/>
    <w:rsid w:val="006B5568"/>
    <w:rsid w:val="006B6069"/>
    <w:rsid w:val="006B609C"/>
    <w:rsid w:val="006B6522"/>
    <w:rsid w:val="006B795F"/>
    <w:rsid w:val="006C0C8F"/>
    <w:rsid w:val="006C2176"/>
    <w:rsid w:val="006C291C"/>
    <w:rsid w:val="006C2AB3"/>
    <w:rsid w:val="006C3BB0"/>
    <w:rsid w:val="006C3C87"/>
    <w:rsid w:val="006C3F41"/>
    <w:rsid w:val="006C49EB"/>
    <w:rsid w:val="006C4C8B"/>
    <w:rsid w:val="006C4D83"/>
    <w:rsid w:val="006C5017"/>
    <w:rsid w:val="006C5041"/>
    <w:rsid w:val="006C582F"/>
    <w:rsid w:val="006C6313"/>
    <w:rsid w:val="006C6472"/>
    <w:rsid w:val="006C6A09"/>
    <w:rsid w:val="006C74D2"/>
    <w:rsid w:val="006C755D"/>
    <w:rsid w:val="006C75D0"/>
    <w:rsid w:val="006D0128"/>
    <w:rsid w:val="006D077C"/>
    <w:rsid w:val="006D08B2"/>
    <w:rsid w:val="006D13C1"/>
    <w:rsid w:val="006D29EA"/>
    <w:rsid w:val="006D2BAB"/>
    <w:rsid w:val="006D2EC2"/>
    <w:rsid w:val="006D332B"/>
    <w:rsid w:val="006D33CA"/>
    <w:rsid w:val="006D34F6"/>
    <w:rsid w:val="006D3BE5"/>
    <w:rsid w:val="006D4E98"/>
    <w:rsid w:val="006D4FE8"/>
    <w:rsid w:val="006D56BC"/>
    <w:rsid w:val="006D5EEA"/>
    <w:rsid w:val="006D630D"/>
    <w:rsid w:val="006D637A"/>
    <w:rsid w:val="006D63A7"/>
    <w:rsid w:val="006D77A6"/>
    <w:rsid w:val="006D78A1"/>
    <w:rsid w:val="006D7F75"/>
    <w:rsid w:val="006E02B5"/>
    <w:rsid w:val="006E09CD"/>
    <w:rsid w:val="006E0B87"/>
    <w:rsid w:val="006E1913"/>
    <w:rsid w:val="006E3ECF"/>
    <w:rsid w:val="006E4CBF"/>
    <w:rsid w:val="006E4FA8"/>
    <w:rsid w:val="006E5CAD"/>
    <w:rsid w:val="006E6609"/>
    <w:rsid w:val="006E6622"/>
    <w:rsid w:val="006E6D72"/>
    <w:rsid w:val="006E78FF"/>
    <w:rsid w:val="006E7BE3"/>
    <w:rsid w:val="006F0357"/>
    <w:rsid w:val="006F08A8"/>
    <w:rsid w:val="006F246C"/>
    <w:rsid w:val="006F326B"/>
    <w:rsid w:val="006F4458"/>
    <w:rsid w:val="006F49A2"/>
    <w:rsid w:val="006F4A50"/>
    <w:rsid w:val="006F4B28"/>
    <w:rsid w:val="006F4E11"/>
    <w:rsid w:val="006F5E76"/>
    <w:rsid w:val="006F6802"/>
    <w:rsid w:val="006F73B9"/>
    <w:rsid w:val="006F7DAC"/>
    <w:rsid w:val="006F7F73"/>
    <w:rsid w:val="007002D9"/>
    <w:rsid w:val="0070085C"/>
    <w:rsid w:val="00700A55"/>
    <w:rsid w:val="00700EAD"/>
    <w:rsid w:val="00702F59"/>
    <w:rsid w:val="007052BE"/>
    <w:rsid w:val="00706318"/>
    <w:rsid w:val="00707220"/>
    <w:rsid w:val="00707A3D"/>
    <w:rsid w:val="00710316"/>
    <w:rsid w:val="00710456"/>
    <w:rsid w:val="007105D0"/>
    <w:rsid w:val="0071066F"/>
    <w:rsid w:val="00711A47"/>
    <w:rsid w:val="00711AE9"/>
    <w:rsid w:val="007129CA"/>
    <w:rsid w:val="00714174"/>
    <w:rsid w:val="00714E55"/>
    <w:rsid w:val="007151F2"/>
    <w:rsid w:val="00715DB0"/>
    <w:rsid w:val="00715DE1"/>
    <w:rsid w:val="00717A2B"/>
    <w:rsid w:val="00720FA9"/>
    <w:rsid w:val="007225FD"/>
    <w:rsid w:val="00722B9F"/>
    <w:rsid w:val="007232AB"/>
    <w:rsid w:val="007237E0"/>
    <w:rsid w:val="00723FFB"/>
    <w:rsid w:val="007245C6"/>
    <w:rsid w:val="007248C6"/>
    <w:rsid w:val="00724C0C"/>
    <w:rsid w:val="00726030"/>
    <w:rsid w:val="00726C1B"/>
    <w:rsid w:val="00727829"/>
    <w:rsid w:val="0073097F"/>
    <w:rsid w:val="007314AA"/>
    <w:rsid w:val="007325BE"/>
    <w:rsid w:val="00732CCA"/>
    <w:rsid w:val="00733608"/>
    <w:rsid w:val="00733A5F"/>
    <w:rsid w:val="00733E5B"/>
    <w:rsid w:val="00734203"/>
    <w:rsid w:val="00734B15"/>
    <w:rsid w:val="0074041B"/>
    <w:rsid w:val="007407DA"/>
    <w:rsid w:val="00741557"/>
    <w:rsid w:val="00741C49"/>
    <w:rsid w:val="007438C3"/>
    <w:rsid w:val="00743D04"/>
    <w:rsid w:val="0074535F"/>
    <w:rsid w:val="00745443"/>
    <w:rsid w:val="00745461"/>
    <w:rsid w:val="00745500"/>
    <w:rsid w:val="00745FC2"/>
    <w:rsid w:val="007461B7"/>
    <w:rsid w:val="00746CC9"/>
    <w:rsid w:val="00746E87"/>
    <w:rsid w:val="007477B5"/>
    <w:rsid w:val="0075160D"/>
    <w:rsid w:val="0075161D"/>
    <w:rsid w:val="007525E7"/>
    <w:rsid w:val="00752854"/>
    <w:rsid w:val="007537B9"/>
    <w:rsid w:val="00754233"/>
    <w:rsid w:val="0075547E"/>
    <w:rsid w:val="007555E5"/>
    <w:rsid w:val="00755611"/>
    <w:rsid w:val="007558AF"/>
    <w:rsid w:val="00755BA1"/>
    <w:rsid w:val="0075678F"/>
    <w:rsid w:val="0075706D"/>
    <w:rsid w:val="00757BCA"/>
    <w:rsid w:val="007630D0"/>
    <w:rsid w:val="007635E8"/>
    <w:rsid w:val="00765268"/>
    <w:rsid w:val="0076527B"/>
    <w:rsid w:val="00765423"/>
    <w:rsid w:val="00765E34"/>
    <w:rsid w:val="007672E0"/>
    <w:rsid w:val="00770342"/>
    <w:rsid w:val="00770A61"/>
    <w:rsid w:val="00770F12"/>
    <w:rsid w:val="00771D79"/>
    <w:rsid w:val="00771FEE"/>
    <w:rsid w:val="0077205F"/>
    <w:rsid w:val="00772D23"/>
    <w:rsid w:val="007732EA"/>
    <w:rsid w:val="007735EE"/>
    <w:rsid w:val="00773909"/>
    <w:rsid w:val="0077488E"/>
    <w:rsid w:val="00775947"/>
    <w:rsid w:val="00776595"/>
    <w:rsid w:val="00776D34"/>
    <w:rsid w:val="00776F95"/>
    <w:rsid w:val="0077704A"/>
    <w:rsid w:val="00780184"/>
    <w:rsid w:val="007824EB"/>
    <w:rsid w:val="00782AFE"/>
    <w:rsid w:val="00782DE3"/>
    <w:rsid w:val="00783533"/>
    <w:rsid w:val="00783624"/>
    <w:rsid w:val="0078443B"/>
    <w:rsid w:val="00784BCC"/>
    <w:rsid w:val="0078537B"/>
    <w:rsid w:val="00785405"/>
    <w:rsid w:val="0078591E"/>
    <w:rsid w:val="007862F8"/>
    <w:rsid w:val="00787466"/>
    <w:rsid w:val="00790163"/>
    <w:rsid w:val="007916A2"/>
    <w:rsid w:val="00792BD3"/>
    <w:rsid w:val="0079389C"/>
    <w:rsid w:val="00793E09"/>
    <w:rsid w:val="0079491E"/>
    <w:rsid w:val="00794D94"/>
    <w:rsid w:val="007952B8"/>
    <w:rsid w:val="0079554B"/>
    <w:rsid w:val="00796650"/>
    <w:rsid w:val="007A0055"/>
    <w:rsid w:val="007A027F"/>
    <w:rsid w:val="007A1FB1"/>
    <w:rsid w:val="007A25B2"/>
    <w:rsid w:val="007A278C"/>
    <w:rsid w:val="007A2B72"/>
    <w:rsid w:val="007A3DCC"/>
    <w:rsid w:val="007A4ABA"/>
    <w:rsid w:val="007A4AD0"/>
    <w:rsid w:val="007A56F2"/>
    <w:rsid w:val="007A6CDB"/>
    <w:rsid w:val="007A6D56"/>
    <w:rsid w:val="007A76D8"/>
    <w:rsid w:val="007B18A6"/>
    <w:rsid w:val="007B1D2F"/>
    <w:rsid w:val="007B1E00"/>
    <w:rsid w:val="007B2139"/>
    <w:rsid w:val="007B2582"/>
    <w:rsid w:val="007B27F7"/>
    <w:rsid w:val="007B2AC7"/>
    <w:rsid w:val="007B32C4"/>
    <w:rsid w:val="007B37E8"/>
    <w:rsid w:val="007B3A5C"/>
    <w:rsid w:val="007B3D1D"/>
    <w:rsid w:val="007B3F21"/>
    <w:rsid w:val="007B3FC6"/>
    <w:rsid w:val="007B491C"/>
    <w:rsid w:val="007B4CF8"/>
    <w:rsid w:val="007B5572"/>
    <w:rsid w:val="007B5964"/>
    <w:rsid w:val="007B60AC"/>
    <w:rsid w:val="007B6860"/>
    <w:rsid w:val="007B6A7C"/>
    <w:rsid w:val="007C0C7C"/>
    <w:rsid w:val="007C0DBE"/>
    <w:rsid w:val="007C1BCB"/>
    <w:rsid w:val="007C1C0D"/>
    <w:rsid w:val="007C2D70"/>
    <w:rsid w:val="007C399C"/>
    <w:rsid w:val="007C45B7"/>
    <w:rsid w:val="007C4F04"/>
    <w:rsid w:val="007C56D1"/>
    <w:rsid w:val="007C672D"/>
    <w:rsid w:val="007C752F"/>
    <w:rsid w:val="007D100B"/>
    <w:rsid w:val="007D1455"/>
    <w:rsid w:val="007D23C3"/>
    <w:rsid w:val="007D3457"/>
    <w:rsid w:val="007D3969"/>
    <w:rsid w:val="007D3AE8"/>
    <w:rsid w:val="007D3C3D"/>
    <w:rsid w:val="007D48F6"/>
    <w:rsid w:val="007D6371"/>
    <w:rsid w:val="007D653C"/>
    <w:rsid w:val="007D7D4B"/>
    <w:rsid w:val="007D7F15"/>
    <w:rsid w:val="007E08CE"/>
    <w:rsid w:val="007E1D38"/>
    <w:rsid w:val="007E23A9"/>
    <w:rsid w:val="007E3D64"/>
    <w:rsid w:val="007E3D6B"/>
    <w:rsid w:val="007E4095"/>
    <w:rsid w:val="007E41F0"/>
    <w:rsid w:val="007E502C"/>
    <w:rsid w:val="007E5BAF"/>
    <w:rsid w:val="007E6D48"/>
    <w:rsid w:val="007E763C"/>
    <w:rsid w:val="007E79B9"/>
    <w:rsid w:val="007E7F8A"/>
    <w:rsid w:val="007F0A2F"/>
    <w:rsid w:val="007F0B3D"/>
    <w:rsid w:val="007F0BC9"/>
    <w:rsid w:val="007F1A3F"/>
    <w:rsid w:val="007F1B1F"/>
    <w:rsid w:val="007F23B5"/>
    <w:rsid w:val="007F2864"/>
    <w:rsid w:val="007F2942"/>
    <w:rsid w:val="007F368D"/>
    <w:rsid w:val="007F580D"/>
    <w:rsid w:val="007F58C3"/>
    <w:rsid w:val="007F5C27"/>
    <w:rsid w:val="007F6CB2"/>
    <w:rsid w:val="007F75E2"/>
    <w:rsid w:val="007F7FB4"/>
    <w:rsid w:val="00801ED9"/>
    <w:rsid w:val="008027B3"/>
    <w:rsid w:val="00803547"/>
    <w:rsid w:val="0080537E"/>
    <w:rsid w:val="00805E05"/>
    <w:rsid w:val="0080631B"/>
    <w:rsid w:val="0080788B"/>
    <w:rsid w:val="00812C2E"/>
    <w:rsid w:val="00813027"/>
    <w:rsid w:val="0081308D"/>
    <w:rsid w:val="00813360"/>
    <w:rsid w:val="00813C63"/>
    <w:rsid w:val="00813F97"/>
    <w:rsid w:val="00814952"/>
    <w:rsid w:val="00814965"/>
    <w:rsid w:val="008154AF"/>
    <w:rsid w:val="0081680D"/>
    <w:rsid w:val="00816F91"/>
    <w:rsid w:val="00817E4C"/>
    <w:rsid w:val="00817EF0"/>
    <w:rsid w:val="00820529"/>
    <w:rsid w:val="008206A9"/>
    <w:rsid w:val="008210C2"/>
    <w:rsid w:val="00821475"/>
    <w:rsid w:val="00822548"/>
    <w:rsid w:val="0082328E"/>
    <w:rsid w:val="00823308"/>
    <w:rsid w:val="00823674"/>
    <w:rsid w:val="00823872"/>
    <w:rsid w:val="00823967"/>
    <w:rsid w:val="0082595E"/>
    <w:rsid w:val="0082603B"/>
    <w:rsid w:val="00826164"/>
    <w:rsid w:val="00826491"/>
    <w:rsid w:val="008267AC"/>
    <w:rsid w:val="00826D2C"/>
    <w:rsid w:val="00827AAA"/>
    <w:rsid w:val="008301F3"/>
    <w:rsid w:val="0083103C"/>
    <w:rsid w:val="0083105C"/>
    <w:rsid w:val="008315D4"/>
    <w:rsid w:val="00831884"/>
    <w:rsid w:val="00831A25"/>
    <w:rsid w:val="00831DC2"/>
    <w:rsid w:val="00832047"/>
    <w:rsid w:val="0083313B"/>
    <w:rsid w:val="008336D9"/>
    <w:rsid w:val="00833A9C"/>
    <w:rsid w:val="00833E14"/>
    <w:rsid w:val="00836421"/>
    <w:rsid w:val="00836C1D"/>
    <w:rsid w:val="00837D75"/>
    <w:rsid w:val="00840464"/>
    <w:rsid w:val="00840E0E"/>
    <w:rsid w:val="008411F3"/>
    <w:rsid w:val="00841465"/>
    <w:rsid w:val="00842285"/>
    <w:rsid w:val="0084238A"/>
    <w:rsid w:val="00842C2D"/>
    <w:rsid w:val="00842D11"/>
    <w:rsid w:val="00843712"/>
    <w:rsid w:val="0084427D"/>
    <w:rsid w:val="00845151"/>
    <w:rsid w:val="00845427"/>
    <w:rsid w:val="008457A9"/>
    <w:rsid w:val="00845BEA"/>
    <w:rsid w:val="00845C09"/>
    <w:rsid w:val="00846682"/>
    <w:rsid w:val="00846988"/>
    <w:rsid w:val="00846AE8"/>
    <w:rsid w:val="008470CA"/>
    <w:rsid w:val="00847639"/>
    <w:rsid w:val="00847B18"/>
    <w:rsid w:val="00850641"/>
    <w:rsid w:val="008510F6"/>
    <w:rsid w:val="00851826"/>
    <w:rsid w:val="00852030"/>
    <w:rsid w:val="00852163"/>
    <w:rsid w:val="008524C1"/>
    <w:rsid w:val="0085259C"/>
    <w:rsid w:val="008528B0"/>
    <w:rsid w:val="0085327D"/>
    <w:rsid w:val="00853377"/>
    <w:rsid w:val="0085458F"/>
    <w:rsid w:val="008553FE"/>
    <w:rsid w:val="008554C6"/>
    <w:rsid w:val="00856857"/>
    <w:rsid w:val="00857A61"/>
    <w:rsid w:val="0086009C"/>
    <w:rsid w:val="00860195"/>
    <w:rsid w:val="00861A99"/>
    <w:rsid w:val="00862095"/>
    <w:rsid w:val="008622AD"/>
    <w:rsid w:val="00862643"/>
    <w:rsid w:val="00862E47"/>
    <w:rsid w:val="00863285"/>
    <w:rsid w:val="0086347B"/>
    <w:rsid w:val="00863779"/>
    <w:rsid w:val="00863A76"/>
    <w:rsid w:val="00863BD2"/>
    <w:rsid w:val="008641C0"/>
    <w:rsid w:val="00864BFA"/>
    <w:rsid w:val="00864F0B"/>
    <w:rsid w:val="008658BC"/>
    <w:rsid w:val="00866D56"/>
    <w:rsid w:val="008672A9"/>
    <w:rsid w:val="00867BB8"/>
    <w:rsid w:val="008717DE"/>
    <w:rsid w:val="00872682"/>
    <w:rsid w:val="00872A83"/>
    <w:rsid w:val="00872F0E"/>
    <w:rsid w:val="00874C4D"/>
    <w:rsid w:val="008755E8"/>
    <w:rsid w:val="008763C5"/>
    <w:rsid w:val="00877D1A"/>
    <w:rsid w:val="00877FF3"/>
    <w:rsid w:val="00880202"/>
    <w:rsid w:val="008809D2"/>
    <w:rsid w:val="00881AB8"/>
    <w:rsid w:val="00882625"/>
    <w:rsid w:val="00882705"/>
    <w:rsid w:val="00883166"/>
    <w:rsid w:val="008835AB"/>
    <w:rsid w:val="008838E1"/>
    <w:rsid w:val="00884219"/>
    <w:rsid w:val="00885A26"/>
    <w:rsid w:val="008864D0"/>
    <w:rsid w:val="00886CE3"/>
    <w:rsid w:val="00890BC9"/>
    <w:rsid w:val="00890D79"/>
    <w:rsid w:val="008918B9"/>
    <w:rsid w:val="00892684"/>
    <w:rsid w:val="008945D0"/>
    <w:rsid w:val="008953C6"/>
    <w:rsid w:val="0089567A"/>
    <w:rsid w:val="00896226"/>
    <w:rsid w:val="0089679E"/>
    <w:rsid w:val="0089706A"/>
    <w:rsid w:val="008978FD"/>
    <w:rsid w:val="008A01D9"/>
    <w:rsid w:val="008A16F6"/>
    <w:rsid w:val="008A18DE"/>
    <w:rsid w:val="008A2567"/>
    <w:rsid w:val="008A263B"/>
    <w:rsid w:val="008A2E8C"/>
    <w:rsid w:val="008A3246"/>
    <w:rsid w:val="008A3622"/>
    <w:rsid w:val="008A3EF7"/>
    <w:rsid w:val="008A4070"/>
    <w:rsid w:val="008A408C"/>
    <w:rsid w:val="008A51EE"/>
    <w:rsid w:val="008A53A4"/>
    <w:rsid w:val="008A640A"/>
    <w:rsid w:val="008A64D3"/>
    <w:rsid w:val="008A6925"/>
    <w:rsid w:val="008A6B6B"/>
    <w:rsid w:val="008A7375"/>
    <w:rsid w:val="008A7E20"/>
    <w:rsid w:val="008A7ED9"/>
    <w:rsid w:val="008A7F06"/>
    <w:rsid w:val="008B03C2"/>
    <w:rsid w:val="008B3C62"/>
    <w:rsid w:val="008B3D6E"/>
    <w:rsid w:val="008B4116"/>
    <w:rsid w:val="008B481D"/>
    <w:rsid w:val="008B4EDA"/>
    <w:rsid w:val="008B56F6"/>
    <w:rsid w:val="008B6199"/>
    <w:rsid w:val="008B7814"/>
    <w:rsid w:val="008B7F85"/>
    <w:rsid w:val="008C05DA"/>
    <w:rsid w:val="008C1098"/>
    <w:rsid w:val="008C1C25"/>
    <w:rsid w:val="008C1F29"/>
    <w:rsid w:val="008C2AB3"/>
    <w:rsid w:val="008C2FF0"/>
    <w:rsid w:val="008C3AD2"/>
    <w:rsid w:val="008C3B49"/>
    <w:rsid w:val="008C492A"/>
    <w:rsid w:val="008C4C32"/>
    <w:rsid w:val="008C5740"/>
    <w:rsid w:val="008C6366"/>
    <w:rsid w:val="008C63B3"/>
    <w:rsid w:val="008C6960"/>
    <w:rsid w:val="008C7126"/>
    <w:rsid w:val="008C7FDF"/>
    <w:rsid w:val="008D0076"/>
    <w:rsid w:val="008D0802"/>
    <w:rsid w:val="008D1D77"/>
    <w:rsid w:val="008D2003"/>
    <w:rsid w:val="008D2309"/>
    <w:rsid w:val="008D2470"/>
    <w:rsid w:val="008D2DAB"/>
    <w:rsid w:val="008D2E2D"/>
    <w:rsid w:val="008D4354"/>
    <w:rsid w:val="008D4692"/>
    <w:rsid w:val="008D46DD"/>
    <w:rsid w:val="008D4C9C"/>
    <w:rsid w:val="008D58AD"/>
    <w:rsid w:val="008D603A"/>
    <w:rsid w:val="008D6EB0"/>
    <w:rsid w:val="008D7616"/>
    <w:rsid w:val="008D7F74"/>
    <w:rsid w:val="008E06AF"/>
    <w:rsid w:val="008E211D"/>
    <w:rsid w:val="008E217B"/>
    <w:rsid w:val="008E22D2"/>
    <w:rsid w:val="008E25B2"/>
    <w:rsid w:val="008E2E0A"/>
    <w:rsid w:val="008E4676"/>
    <w:rsid w:val="008E4747"/>
    <w:rsid w:val="008E563D"/>
    <w:rsid w:val="008E64AE"/>
    <w:rsid w:val="008F0BAE"/>
    <w:rsid w:val="008F154A"/>
    <w:rsid w:val="008F185E"/>
    <w:rsid w:val="008F1F2A"/>
    <w:rsid w:val="008F27E5"/>
    <w:rsid w:val="008F2AA9"/>
    <w:rsid w:val="008F34E8"/>
    <w:rsid w:val="008F37E8"/>
    <w:rsid w:val="008F382F"/>
    <w:rsid w:val="008F3CBC"/>
    <w:rsid w:val="008F4B9F"/>
    <w:rsid w:val="008F4CE7"/>
    <w:rsid w:val="008F4E05"/>
    <w:rsid w:val="008F544F"/>
    <w:rsid w:val="008F6A9B"/>
    <w:rsid w:val="008F6D8E"/>
    <w:rsid w:val="008F6F60"/>
    <w:rsid w:val="008F7F5B"/>
    <w:rsid w:val="0090058D"/>
    <w:rsid w:val="0090118B"/>
    <w:rsid w:val="00901776"/>
    <w:rsid w:val="00901DCC"/>
    <w:rsid w:val="00901F84"/>
    <w:rsid w:val="009023AF"/>
    <w:rsid w:val="00902472"/>
    <w:rsid w:val="00902560"/>
    <w:rsid w:val="00903660"/>
    <w:rsid w:val="00906936"/>
    <w:rsid w:val="00906D77"/>
    <w:rsid w:val="00906E02"/>
    <w:rsid w:val="009078E9"/>
    <w:rsid w:val="0091000A"/>
    <w:rsid w:val="00910F47"/>
    <w:rsid w:val="00911821"/>
    <w:rsid w:val="0091220A"/>
    <w:rsid w:val="00912364"/>
    <w:rsid w:val="0091292F"/>
    <w:rsid w:val="00913560"/>
    <w:rsid w:val="009137B4"/>
    <w:rsid w:val="009140D2"/>
    <w:rsid w:val="00914C1C"/>
    <w:rsid w:val="00914C6D"/>
    <w:rsid w:val="00914FBF"/>
    <w:rsid w:val="00915E71"/>
    <w:rsid w:val="0091718B"/>
    <w:rsid w:val="0091754B"/>
    <w:rsid w:val="00917AE8"/>
    <w:rsid w:val="00917B51"/>
    <w:rsid w:val="00917DB3"/>
    <w:rsid w:val="00922E8C"/>
    <w:rsid w:val="00922EF6"/>
    <w:rsid w:val="009255B8"/>
    <w:rsid w:val="00925670"/>
    <w:rsid w:val="0092651B"/>
    <w:rsid w:val="00926742"/>
    <w:rsid w:val="00927705"/>
    <w:rsid w:val="00930806"/>
    <w:rsid w:val="009310AE"/>
    <w:rsid w:val="009321C2"/>
    <w:rsid w:val="00932920"/>
    <w:rsid w:val="0093314A"/>
    <w:rsid w:val="0093337E"/>
    <w:rsid w:val="00933566"/>
    <w:rsid w:val="009338C6"/>
    <w:rsid w:val="009341E4"/>
    <w:rsid w:val="00934217"/>
    <w:rsid w:val="00934EA9"/>
    <w:rsid w:val="0093512B"/>
    <w:rsid w:val="00935B00"/>
    <w:rsid w:val="0093613C"/>
    <w:rsid w:val="0093655A"/>
    <w:rsid w:val="009373E7"/>
    <w:rsid w:val="009377D2"/>
    <w:rsid w:val="00940F29"/>
    <w:rsid w:val="009413D0"/>
    <w:rsid w:val="009423A9"/>
    <w:rsid w:val="0094249E"/>
    <w:rsid w:val="009425C6"/>
    <w:rsid w:val="00942FC9"/>
    <w:rsid w:val="00943115"/>
    <w:rsid w:val="00943C4B"/>
    <w:rsid w:val="00944728"/>
    <w:rsid w:val="00944F9E"/>
    <w:rsid w:val="009464B6"/>
    <w:rsid w:val="00947EEF"/>
    <w:rsid w:val="00951479"/>
    <w:rsid w:val="00951552"/>
    <w:rsid w:val="00952247"/>
    <w:rsid w:val="0095229D"/>
    <w:rsid w:val="009528B8"/>
    <w:rsid w:val="00952BB3"/>
    <w:rsid w:val="00952CE2"/>
    <w:rsid w:val="00952DC7"/>
    <w:rsid w:val="00954261"/>
    <w:rsid w:val="00955D51"/>
    <w:rsid w:val="00960117"/>
    <w:rsid w:val="00960C48"/>
    <w:rsid w:val="00961D2F"/>
    <w:rsid w:val="00961F55"/>
    <w:rsid w:val="00962272"/>
    <w:rsid w:val="009622DD"/>
    <w:rsid w:val="00963B03"/>
    <w:rsid w:val="00963B25"/>
    <w:rsid w:val="00964523"/>
    <w:rsid w:val="00964DEF"/>
    <w:rsid w:val="009663AD"/>
    <w:rsid w:val="00966843"/>
    <w:rsid w:val="00966BDF"/>
    <w:rsid w:val="00967093"/>
    <w:rsid w:val="009677BA"/>
    <w:rsid w:val="009701BF"/>
    <w:rsid w:val="00971409"/>
    <w:rsid w:val="009718CF"/>
    <w:rsid w:val="009722C1"/>
    <w:rsid w:val="0097273E"/>
    <w:rsid w:val="00972F6F"/>
    <w:rsid w:val="00973736"/>
    <w:rsid w:val="00973B16"/>
    <w:rsid w:val="009746B3"/>
    <w:rsid w:val="00975E95"/>
    <w:rsid w:val="00976085"/>
    <w:rsid w:val="009765C1"/>
    <w:rsid w:val="0097723B"/>
    <w:rsid w:val="0097776C"/>
    <w:rsid w:val="00980744"/>
    <w:rsid w:val="00980D10"/>
    <w:rsid w:val="00980D68"/>
    <w:rsid w:val="00980F82"/>
    <w:rsid w:val="009818B5"/>
    <w:rsid w:val="00981F24"/>
    <w:rsid w:val="009825AF"/>
    <w:rsid w:val="00982A51"/>
    <w:rsid w:val="009830DF"/>
    <w:rsid w:val="00983107"/>
    <w:rsid w:val="00983899"/>
    <w:rsid w:val="00984590"/>
    <w:rsid w:val="00985E65"/>
    <w:rsid w:val="00986BAD"/>
    <w:rsid w:val="00987480"/>
    <w:rsid w:val="0099017E"/>
    <w:rsid w:val="0099024B"/>
    <w:rsid w:val="009908A4"/>
    <w:rsid w:val="00990E16"/>
    <w:rsid w:val="0099290D"/>
    <w:rsid w:val="00992E45"/>
    <w:rsid w:val="0099488C"/>
    <w:rsid w:val="00994D79"/>
    <w:rsid w:val="00994E5D"/>
    <w:rsid w:val="0099574F"/>
    <w:rsid w:val="009969AD"/>
    <w:rsid w:val="00996D60"/>
    <w:rsid w:val="00996E13"/>
    <w:rsid w:val="00997E1A"/>
    <w:rsid w:val="009A0A46"/>
    <w:rsid w:val="009A254C"/>
    <w:rsid w:val="009A285C"/>
    <w:rsid w:val="009A2A6E"/>
    <w:rsid w:val="009A3E87"/>
    <w:rsid w:val="009A4804"/>
    <w:rsid w:val="009A4DF0"/>
    <w:rsid w:val="009A5323"/>
    <w:rsid w:val="009A5A33"/>
    <w:rsid w:val="009A5B2B"/>
    <w:rsid w:val="009A5EF7"/>
    <w:rsid w:val="009A6940"/>
    <w:rsid w:val="009B0417"/>
    <w:rsid w:val="009B071B"/>
    <w:rsid w:val="009B0D34"/>
    <w:rsid w:val="009B0F3F"/>
    <w:rsid w:val="009B1160"/>
    <w:rsid w:val="009B18DA"/>
    <w:rsid w:val="009B2CE5"/>
    <w:rsid w:val="009B4A1C"/>
    <w:rsid w:val="009B5DF9"/>
    <w:rsid w:val="009B5F9A"/>
    <w:rsid w:val="009B689D"/>
    <w:rsid w:val="009B68B3"/>
    <w:rsid w:val="009B6CD2"/>
    <w:rsid w:val="009B6FC1"/>
    <w:rsid w:val="009B70A1"/>
    <w:rsid w:val="009B7A22"/>
    <w:rsid w:val="009C1AEB"/>
    <w:rsid w:val="009C295C"/>
    <w:rsid w:val="009C2E4F"/>
    <w:rsid w:val="009C2FC7"/>
    <w:rsid w:val="009C3FEC"/>
    <w:rsid w:val="009C4551"/>
    <w:rsid w:val="009C4618"/>
    <w:rsid w:val="009C51E1"/>
    <w:rsid w:val="009C5F6D"/>
    <w:rsid w:val="009C6C2A"/>
    <w:rsid w:val="009C7772"/>
    <w:rsid w:val="009C7819"/>
    <w:rsid w:val="009D17A0"/>
    <w:rsid w:val="009D19C1"/>
    <w:rsid w:val="009D1B70"/>
    <w:rsid w:val="009D2273"/>
    <w:rsid w:val="009D285C"/>
    <w:rsid w:val="009D2C40"/>
    <w:rsid w:val="009D3553"/>
    <w:rsid w:val="009D3AC4"/>
    <w:rsid w:val="009D3E2C"/>
    <w:rsid w:val="009D45A6"/>
    <w:rsid w:val="009D4D88"/>
    <w:rsid w:val="009D6B4E"/>
    <w:rsid w:val="009D71CC"/>
    <w:rsid w:val="009E0443"/>
    <w:rsid w:val="009E0D1A"/>
    <w:rsid w:val="009E1B4D"/>
    <w:rsid w:val="009E24E0"/>
    <w:rsid w:val="009E3EA3"/>
    <w:rsid w:val="009E3F82"/>
    <w:rsid w:val="009E5F8C"/>
    <w:rsid w:val="009E6377"/>
    <w:rsid w:val="009E70A2"/>
    <w:rsid w:val="009E76D0"/>
    <w:rsid w:val="009E776E"/>
    <w:rsid w:val="009E7877"/>
    <w:rsid w:val="009E7933"/>
    <w:rsid w:val="009F076D"/>
    <w:rsid w:val="009F0D61"/>
    <w:rsid w:val="009F138B"/>
    <w:rsid w:val="009F14FC"/>
    <w:rsid w:val="009F1736"/>
    <w:rsid w:val="009F1D52"/>
    <w:rsid w:val="009F23A7"/>
    <w:rsid w:val="009F348B"/>
    <w:rsid w:val="009F3AF1"/>
    <w:rsid w:val="009F40F1"/>
    <w:rsid w:val="009F4E13"/>
    <w:rsid w:val="009F5385"/>
    <w:rsid w:val="009F5D57"/>
    <w:rsid w:val="009F68D9"/>
    <w:rsid w:val="009F71FF"/>
    <w:rsid w:val="009F7AAE"/>
    <w:rsid w:val="009F7B04"/>
    <w:rsid w:val="009F7E56"/>
    <w:rsid w:val="009F7FFE"/>
    <w:rsid w:val="00A00DC9"/>
    <w:rsid w:val="00A0253F"/>
    <w:rsid w:val="00A02A3B"/>
    <w:rsid w:val="00A02B5B"/>
    <w:rsid w:val="00A03C74"/>
    <w:rsid w:val="00A04406"/>
    <w:rsid w:val="00A046D8"/>
    <w:rsid w:val="00A04867"/>
    <w:rsid w:val="00A05153"/>
    <w:rsid w:val="00A059A9"/>
    <w:rsid w:val="00A05ACE"/>
    <w:rsid w:val="00A106FD"/>
    <w:rsid w:val="00A12CF7"/>
    <w:rsid w:val="00A12F97"/>
    <w:rsid w:val="00A12FA5"/>
    <w:rsid w:val="00A15242"/>
    <w:rsid w:val="00A16CE4"/>
    <w:rsid w:val="00A16DD8"/>
    <w:rsid w:val="00A17B4E"/>
    <w:rsid w:val="00A17F22"/>
    <w:rsid w:val="00A20C01"/>
    <w:rsid w:val="00A21C51"/>
    <w:rsid w:val="00A2297B"/>
    <w:rsid w:val="00A22B3D"/>
    <w:rsid w:val="00A23C29"/>
    <w:rsid w:val="00A2448F"/>
    <w:rsid w:val="00A25691"/>
    <w:rsid w:val="00A256DB"/>
    <w:rsid w:val="00A30FEC"/>
    <w:rsid w:val="00A319E1"/>
    <w:rsid w:val="00A31F2B"/>
    <w:rsid w:val="00A3293A"/>
    <w:rsid w:val="00A32A94"/>
    <w:rsid w:val="00A33513"/>
    <w:rsid w:val="00A3351B"/>
    <w:rsid w:val="00A336DD"/>
    <w:rsid w:val="00A34148"/>
    <w:rsid w:val="00A34200"/>
    <w:rsid w:val="00A34ED9"/>
    <w:rsid w:val="00A35F05"/>
    <w:rsid w:val="00A3709F"/>
    <w:rsid w:val="00A37420"/>
    <w:rsid w:val="00A37C78"/>
    <w:rsid w:val="00A4044B"/>
    <w:rsid w:val="00A41BBE"/>
    <w:rsid w:val="00A42154"/>
    <w:rsid w:val="00A42B6B"/>
    <w:rsid w:val="00A42D2F"/>
    <w:rsid w:val="00A43592"/>
    <w:rsid w:val="00A43EEE"/>
    <w:rsid w:val="00A440F6"/>
    <w:rsid w:val="00A44304"/>
    <w:rsid w:val="00A44319"/>
    <w:rsid w:val="00A44424"/>
    <w:rsid w:val="00A44BA3"/>
    <w:rsid w:val="00A44CF8"/>
    <w:rsid w:val="00A45C7D"/>
    <w:rsid w:val="00A462C7"/>
    <w:rsid w:val="00A464A9"/>
    <w:rsid w:val="00A46DE7"/>
    <w:rsid w:val="00A4776E"/>
    <w:rsid w:val="00A479E4"/>
    <w:rsid w:val="00A510CB"/>
    <w:rsid w:val="00A512FF"/>
    <w:rsid w:val="00A515F1"/>
    <w:rsid w:val="00A517B2"/>
    <w:rsid w:val="00A51CBF"/>
    <w:rsid w:val="00A51CDB"/>
    <w:rsid w:val="00A51F04"/>
    <w:rsid w:val="00A52049"/>
    <w:rsid w:val="00A52DF9"/>
    <w:rsid w:val="00A52E53"/>
    <w:rsid w:val="00A5300E"/>
    <w:rsid w:val="00A5344E"/>
    <w:rsid w:val="00A546F9"/>
    <w:rsid w:val="00A54A3A"/>
    <w:rsid w:val="00A54A71"/>
    <w:rsid w:val="00A54A94"/>
    <w:rsid w:val="00A54EF2"/>
    <w:rsid w:val="00A54F56"/>
    <w:rsid w:val="00A57AE4"/>
    <w:rsid w:val="00A57B4E"/>
    <w:rsid w:val="00A57DD2"/>
    <w:rsid w:val="00A57F3B"/>
    <w:rsid w:val="00A60EC8"/>
    <w:rsid w:val="00A61CB4"/>
    <w:rsid w:val="00A61DB4"/>
    <w:rsid w:val="00A61F8D"/>
    <w:rsid w:val="00A6203C"/>
    <w:rsid w:val="00A6251D"/>
    <w:rsid w:val="00A635B2"/>
    <w:rsid w:val="00A63901"/>
    <w:rsid w:val="00A64CBC"/>
    <w:rsid w:val="00A6546C"/>
    <w:rsid w:val="00A6643C"/>
    <w:rsid w:val="00A703B0"/>
    <w:rsid w:val="00A70B72"/>
    <w:rsid w:val="00A71CA1"/>
    <w:rsid w:val="00A7278E"/>
    <w:rsid w:val="00A749C9"/>
    <w:rsid w:val="00A74EEF"/>
    <w:rsid w:val="00A75269"/>
    <w:rsid w:val="00A763AF"/>
    <w:rsid w:val="00A763FF"/>
    <w:rsid w:val="00A771CB"/>
    <w:rsid w:val="00A772B3"/>
    <w:rsid w:val="00A77AB1"/>
    <w:rsid w:val="00A81DEE"/>
    <w:rsid w:val="00A840E5"/>
    <w:rsid w:val="00A8487E"/>
    <w:rsid w:val="00A848FC"/>
    <w:rsid w:val="00A84B7C"/>
    <w:rsid w:val="00A85BF9"/>
    <w:rsid w:val="00A8651A"/>
    <w:rsid w:val="00A87228"/>
    <w:rsid w:val="00A873AF"/>
    <w:rsid w:val="00A87706"/>
    <w:rsid w:val="00A87783"/>
    <w:rsid w:val="00A87DA7"/>
    <w:rsid w:val="00A90ACD"/>
    <w:rsid w:val="00A90F80"/>
    <w:rsid w:val="00A91A74"/>
    <w:rsid w:val="00A942EF"/>
    <w:rsid w:val="00A946B2"/>
    <w:rsid w:val="00A94F8B"/>
    <w:rsid w:val="00A97EDD"/>
    <w:rsid w:val="00AA03AD"/>
    <w:rsid w:val="00AA0517"/>
    <w:rsid w:val="00AA143C"/>
    <w:rsid w:val="00AA16A5"/>
    <w:rsid w:val="00AA32B9"/>
    <w:rsid w:val="00AA48E4"/>
    <w:rsid w:val="00AA4AC0"/>
    <w:rsid w:val="00AA5B7F"/>
    <w:rsid w:val="00AA687B"/>
    <w:rsid w:val="00AA6F05"/>
    <w:rsid w:val="00AA73DF"/>
    <w:rsid w:val="00AA7BB2"/>
    <w:rsid w:val="00AB006D"/>
    <w:rsid w:val="00AB089D"/>
    <w:rsid w:val="00AB09F0"/>
    <w:rsid w:val="00AB19B3"/>
    <w:rsid w:val="00AB1D56"/>
    <w:rsid w:val="00AB23C3"/>
    <w:rsid w:val="00AB2A4E"/>
    <w:rsid w:val="00AB3E5B"/>
    <w:rsid w:val="00AB41A8"/>
    <w:rsid w:val="00AB5700"/>
    <w:rsid w:val="00AB590D"/>
    <w:rsid w:val="00AB6782"/>
    <w:rsid w:val="00AB6914"/>
    <w:rsid w:val="00AB6A0E"/>
    <w:rsid w:val="00AB7A6E"/>
    <w:rsid w:val="00AC0912"/>
    <w:rsid w:val="00AC1BB8"/>
    <w:rsid w:val="00AC2B06"/>
    <w:rsid w:val="00AC2EFB"/>
    <w:rsid w:val="00AC45F7"/>
    <w:rsid w:val="00AC4821"/>
    <w:rsid w:val="00AC48F6"/>
    <w:rsid w:val="00AC4EF3"/>
    <w:rsid w:val="00AC5007"/>
    <w:rsid w:val="00AC5B34"/>
    <w:rsid w:val="00AC5FD3"/>
    <w:rsid w:val="00AC61B8"/>
    <w:rsid w:val="00AC6583"/>
    <w:rsid w:val="00AC777B"/>
    <w:rsid w:val="00AC7C19"/>
    <w:rsid w:val="00AD0A11"/>
    <w:rsid w:val="00AD10D8"/>
    <w:rsid w:val="00AD1A72"/>
    <w:rsid w:val="00AD2980"/>
    <w:rsid w:val="00AD4950"/>
    <w:rsid w:val="00AD515B"/>
    <w:rsid w:val="00AD705C"/>
    <w:rsid w:val="00AD71CA"/>
    <w:rsid w:val="00AD7E9E"/>
    <w:rsid w:val="00AE07F3"/>
    <w:rsid w:val="00AE0D5A"/>
    <w:rsid w:val="00AE118D"/>
    <w:rsid w:val="00AE1749"/>
    <w:rsid w:val="00AE174D"/>
    <w:rsid w:val="00AE185A"/>
    <w:rsid w:val="00AE28B8"/>
    <w:rsid w:val="00AE295F"/>
    <w:rsid w:val="00AE3298"/>
    <w:rsid w:val="00AE377A"/>
    <w:rsid w:val="00AE44BD"/>
    <w:rsid w:val="00AE5825"/>
    <w:rsid w:val="00AE6279"/>
    <w:rsid w:val="00AE63A0"/>
    <w:rsid w:val="00AE6CF6"/>
    <w:rsid w:val="00AE7D3B"/>
    <w:rsid w:val="00AE7EBD"/>
    <w:rsid w:val="00AF01B4"/>
    <w:rsid w:val="00AF05AC"/>
    <w:rsid w:val="00AF0DA2"/>
    <w:rsid w:val="00AF151D"/>
    <w:rsid w:val="00AF1BF6"/>
    <w:rsid w:val="00AF1DA8"/>
    <w:rsid w:val="00AF2B15"/>
    <w:rsid w:val="00AF350F"/>
    <w:rsid w:val="00AF3573"/>
    <w:rsid w:val="00AF39AD"/>
    <w:rsid w:val="00AF48B2"/>
    <w:rsid w:val="00AF4BB0"/>
    <w:rsid w:val="00AF4C2A"/>
    <w:rsid w:val="00AF4FD4"/>
    <w:rsid w:val="00AF565C"/>
    <w:rsid w:val="00AF56DC"/>
    <w:rsid w:val="00AF59A5"/>
    <w:rsid w:val="00AF5AD3"/>
    <w:rsid w:val="00AF5C4A"/>
    <w:rsid w:val="00AF5F4E"/>
    <w:rsid w:val="00AF6F4F"/>
    <w:rsid w:val="00AF73FD"/>
    <w:rsid w:val="00AF79D4"/>
    <w:rsid w:val="00AF7A11"/>
    <w:rsid w:val="00AF7B34"/>
    <w:rsid w:val="00B005E9"/>
    <w:rsid w:val="00B01B35"/>
    <w:rsid w:val="00B0460B"/>
    <w:rsid w:val="00B05D2D"/>
    <w:rsid w:val="00B05D34"/>
    <w:rsid w:val="00B07F2A"/>
    <w:rsid w:val="00B1039E"/>
    <w:rsid w:val="00B10CF2"/>
    <w:rsid w:val="00B111CB"/>
    <w:rsid w:val="00B11AA7"/>
    <w:rsid w:val="00B11F9B"/>
    <w:rsid w:val="00B11FAF"/>
    <w:rsid w:val="00B11FB5"/>
    <w:rsid w:val="00B12431"/>
    <w:rsid w:val="00B125BD"/>
    <w:rsid w:val="00B1271C"/>
    <w:rsid w:val="00B12808"/>
    <w:rsid w:val="00B12970"/>
    <w:rsid w:val="00B135A0"/>
    <w:rsid w:val="00B13A06"/>
    <w:rsid w:val="00B14F3A"/>
    <w:rsid w:val="00B15182"/>
    <w:rsid w:val="00B15230"/>
    <w:rsid w:val="00B154D6"/>
    <w:rsid w:val="00B1589D"/>
    <w:rsid w:val="00B165A2"/>
    <w:rsid w:val="00B1666D"/>
    <w:rsid w:val="00B175BA"/>
    <w:rsid w:val="00B20258"/>
    <w:rsid w:val="00B20818"/>
    <w:rsid w:val="00B20DD7"/>
    <w:rsid w:val="00B20F57"/>
    <w:rsid w:val="00B21CEF"/>
    <w:rsid w:val="00B221CB"/>
    <w:rsid w:val="00B23B4B"/>
    <w:rsid w:val="00B24913"/>
    <w:rsid w:val="00B24ACD"/>
    <w:rsid w:val="00B25C2D"/>
    <w:rsid w:val="00B26590"/>
    <w:rsid w:val="00B26A6C"/>
    <w:rsid w:val="00B27630"/>
    <w:rsid w:val="00B279F2"/>
    <w:rsid w:val="00B32373"/>
    <w:rsid w:val="00B32407"/>
    <w:rsid w:val="00B331E7"/>
    <w:rsid w:val="00B33A8B"/>
    <w:rsid w:val="00B34141"/>
    <w:rsid w:val="00B35272"/>
    <w:rsid w:val="00B37C4C"/>
    <w:rsid w:val="00B40B70"/>
    <w:rsid w:val="00B424EC"/>
    <w:rsid w:val="00B42B4C"/>
    <w:rsid w:val="00B45B8B"/>
    <w:rsid w:val="00B50044"/>
    <w:rsid w:val="00B506EC"/>
    <w:rsid w:val="00B50983"/>
    <w:rsid w:val="00B50DC8"/>
    <w:rsid w:val="00B520F8"/>
    <w:rsid w:val="00B5289C"/>
    <w:rsid w:val="00B54C22"/>
    <w:rsid w:val="00B5567A"/>
    <w:rsid w:val="00B561A6"/>
    <w:rsid w:val="00B561B5"/>
    <w:rsid w:val="00B56398"/>
    <w:rsid w:val="00B56E20"/>
    <w:rsid w:val="00B57912"/>
    <w:rsid w:val="00B57EC0"/>
    <w:rsid w:val="00B60642"/>
    <w:rsid w:val="00B60901"/>
    <w:rsid w:val="00B6154E"/>
    <w:rsid w:val="00B617B1"/>
    <w:rsid w:val="00B627F8"/>
    <w:rsid w:val="00B632AA"/>
    <w:rsid w:val="00B6338A"/>
    <w:rsid w:val="00B635A5"/>
    <w:rsid w:val="00B637CD"/>
    <w:rsid w:val="00B63829"/>
    <w:rsid w:val="00B64318"/>
    <w:rsid w:val="00B655F3"/>
    <w:rsid w:val="00B65BFA"/>
    <w:rsid w:val="00B65C60"/>
    <w:rsid w:val="00B66A13"/>
    <w:rsid w:val="00B67144"/>
    <w:rsid w:val="00B6766A"/>
    <w:rsid w:val="00B678B0"/>
    <w:rsid w:val="00B679B1"/>
    <w:rsid w:val="00B679BE"/>
    <w:rsid w:val="00B67B76"/>
    <w:rsid w:val="00B67F80"/>
    <w:rsid w:val="00B70FF3"/>
    <w:rsid w:val="00B71303"/>
    <w:rsid w:val="00B7248A"/>
    <w:rsid w:val="00B72653"/>
    <w:rsid w:val="00B72710"/>
    <w:rsid w:val="00B729B2"/>
    <w:rsid w:val="00B737DD"/>
    <w:rsid w:val="00B75261"/>
    <w:rsid w:val="00B757AF"/>
    <w:rsid w:val="00B757ED"/>
    <w:rsid w:val="00B777CB"/>
    <w:rsid w:val="00B81E9C"/>
    <w:rsid w:val="00B830C8"/>
    <w:rsid w:val="00B833FD"/>
    <w:rsid w:val="00B83EA1"/>
    <w:rsid w:val="00B84D1E"/>
    <w:rsid w:val="00B8592D"/>
    <w:rsid w:val="00B863DC"/>
    <w:rsid w:val="00B86411"/>
    <w:rsid w:val="00B87A86"/>
    <w:rsid w:val="00B916EB"/>
    <w:rsid w:val="00B91846"/>
    <w:rsid w:val="00B92156"/>
    <w:rsid w:val="00B92869"/>
    <w:rsid w:val="00B93110"/>
    <w:rsid w:val="00B94917"/>
    <w:rsid w:val="00B95005"/>
    <w:rsid w:val="00B95B4F"/>
    <w:rsid w:val="00B97F26"/>
    <w:rsid w:val="00BA01B2"/>
    <w:rsid w:val="00BA068C"/>
    <w:rsid w:val="00BA0858"/>
    <w:rsid w:val="00BA0A5F"/>
    <w:rsid w:val="00BA1595"/>
    <w:rsid w:val="00BA2B93"/>
    <w:rsid w:val="00BA2E0E"/>
    <w:rsid w:val="00BA3329"/>
    <w:rsid w:val="00BA3D34"/>
    <w:rsid w:val="00BA489A"/>
    <w:rsid w:val="00BA51DF"/>
    <w:rsid w:val="00BA657C"/>
    <w:rsid w:val="00BA7F30"/>
    <w:rsid w:val="00BA7F97"/>
    <w:rsid w:val="00BB02DF"/>
    <w:rsid w:val="00BB045B"/>
    <w:rsid w:val="00BB0668"/>
    <w:rsid w:val="00BB1CB2"/>
    <w:rsid w:val="00BB2B92"/>
    <w:rsid w:val="00BB2C5B"/>
    <w:rsid w:val="00BB3126"/>
    <w:rsid w:val="00BB36CE"/>
    <w:rsid w:val="00BB3A46"/>
    <w:rsid w:val="00BB42AA"/>
    <w:rsid w:val="00BB4FEF"/>
    <w:rsid w:val="00BB5ECB"/>
    <w:rsid w:val="00BB5FD3"/>
    <w:rsid w:val="00BB68B6"/>
    <w:rsid w:val="00BC034C"/>
    <w:rsid w:val="00BC070D"/>
    <w:rsid w:val="00BC190F"/>
    <w:rsid w:val="00BC1C0B"/>
    <w:rsid w:val="00BC225F"/>
    <w:rsid w:val="00BC3490"/>
    <w:rsid w:val="00BC4595"/>
    <w:rsid w:val="00BC55EC"/>
    <w:rsid w:val="00BC5D11"/>
    <w:rsid w:val="00BC671A"/>
    <w:rsid w:val="00BC7776"/>
    <w:rsid w:val="00BD001A"/>
    <w:rsid w:val="00BD03F6"/>
    <w:rsid w:val="00BD13D1"/>
    <w:rsid w:val="00BD1CDA"/>
    <w:rsid w:val="00BD215E"/>
    <w:rsid w:val="00BD2539"/>
    <w:rsid w:val="00BD3403"/>
    <w:rsid w:val="00BD36C3"/>
    <w:rsid w:val="00BD4ACC"/>
    <w:rsid w:val="00BD5128"/>
    <w:rsid w:val="00BD5666"/>
    <w:rsid w:val="00BD56E5"/>
    <w:rsid w:val="00BD57DF"/>
    <w:rsid w:val="00BD7544"/>
    <w:rsid w:val="00BE2457"/>
    <w:rsid w:val="00BE2608"/>
    <w:rsid w:val="00BE3415"/>
    <w:rsid w:val="00BE423E"/>
    <w:rsid w:val="00BE4A09"/>
    <w:rsid w:val="00BE4A63"/>
    <w:rsid w:val="00BE5052"/>
    <w:rsid w:val="00BE52DC"/>
    <w:rsid w:val="00BE62D5"/>
    <w:rsid w:val="00BE65CE"/>
    <w:rsid w:val="00BE6DD0"/>
    <w:rsid w:val="00BE737D"/>
    <w:rsid w:val="00BE7F78"/>
    <w:rsid w:val="00BF000F"/>
    <w:rsid w:val="00BF14C1"/>
    <w:rsid w:val="00BF1609"/>
    <w:rsid w:val="00BF19E5"/>
    <w:rsid w:val="00BF1BDB"/>
    <w:rsid w:val="00BF3DDF"/>
    <w:rsid w:val="00BF3EC6"/>
    <w:rsid w:val="00BF406D"/>
    <w:rsid w:val="00BF45AF"/>
    <w:rsid w:val="00BF4680"/>
    <w:rsid w:val="00BF5403"/>
    <w:rsid w:val="00BF5772"/>
    <w:rsid w:val="00BF5913"/>
    <w:rsid w:val="00BF5A2F"/>
    <w:rsid w:val="00BF7855"/>
    <w:rsid w:val="00BF79D8"/>
    <w:rsid w:val="00C008F4"/>
    <w:rsid w:val="00C010A0"/>
    <w:rsid w:val="00C01F29"/>
    <w:rsid w:val="00C02C8D"/>
    <w:rsid w:val="00C040AE"/>
    <w:rsid w:val="00C045C8"/>
    <w:rsid w:val="00C05C64"/>
    <w:rsid w:val="00C05F20"/>
    <w:rsid w:val="00C0622E"/>
    <w:rsid w:val="00C070E0"/>
    <w:rsid w:val="00C107E6"/>
    <w:rsid w:val="00C111EA"/>
    <w:rsid w:val="00C11664"/>
    <w:rsid w:val="00C1166F"/>
    <w:rsid w:val="00C1247C"/>
    <w:rsid w:val="00C130DC"/>
    <w:rsid w:val="00C134B3"/>
    <w:rsid w:val="00C14256"/>
    <w:rsid w:val="00C142BD"/>
    <w:rsid w:val="00C14BA7"/>
    <w:rsid w:val="00C15BAC"/>
    <w:rsid w:val="00C17608"/>
    <w:rsid w:val="00C177E6"/>
    <w:rsid w:val="00C17D5F"/>
    <w:rsid w:val="00C20876"/>
    <w:rsid w:val="00C20C21"/>
    <w:rsid w:val="00C2104C"/>
    <w:rsid w:val="00C21453"/>
    <w:rsid w:val="00C21829"/>
    <w:rsid w:val="00C2187B"/>
    <w:rsid w:val="00C235C8"/>
    <w:rsid w:val="00C237F2"/>
    <w:rsid w:val="00C248A5"/>
    <w:rsid w:val="00C24E36"/>
    <w:rsid w:val="00C25082"/>
    <w:rsid w:val="00C253B3"/>
    <w:rsid w:val="00C259BD"/>
    <w:rsid w:val="00C25FF2"/>
    <w:rsid w:val="00C25FFF"/>
    <w:rsid w:val="00C262D5"/>
    <w:rsid w:val="00C269BD"/>
    <w:rsid w:val="00C308CD"/>
    <w:rsid w:val="00C30CD9"/>
    <w:rsid w:val="00C30E89"/>
    <w:rsid w:val="00C30EAC"/>
    <w:rsid w:val="00C31C17"/>
    <w:rsid w:val="00C32843"/>
    <w:rsid w:val="00C3449A"/>
    <w:rsid w:val="00C348FE"/>
    <w:rsid w:val="00C35562"/>
    <w:rsid w:val="00C361E1"/>
    <w:rsid w:val="00C369EA"/>
    <w:rsid w:val="00C36EF7"/>
    <w:rsid w:val="00C401A7"/>
    <w:rsid w:val="00C4059A"/>
    <w:rsid w:val="00C41835"/>
    <w:rsid w:val="00C418CB"/>
    <w:rsid w:val="00C41A8B"/>
    <w:rsid w:val="00C41CAB"/>
    <w:rsid w:val="00C42638"/>
    <w:rsid w:val="00C4293F"/>
    <w:rsid w:val="00C42C76"/>
    <w:rsid w:val="00C4308E"/>
    <w:rsid w:val="00C43B5C"/>
    <w:rsid w:val="00C44026"/>
    <w:rsid w:val="00C44C7A"/>
    <w:rsid w:val="00C44D5C"/>
    <w:rsid w:val="00C44D8F"/>
    <w:rsid w:val="00C44EC4"/>
    <w:rsid w:val="00C4532D"/>
    <w:rsid w:val="00C456C5"/>
    <w:rsid w:val="00C456E3"/>
    <w:rsid w:val="00C45D2A"/>
    <w:rsid w:val="00C467A2"/>
    <w:rsid w:val="00C46B97"/>
    <w:rsid w:val="00C4753C"/>
    <w:rsid w:val="00C47A42"/>
    <w:rsid w:val="00C500A8"/>
    <w:rsid w:val="00C505AA"/>
    <w:rsid w:val="00C50A9E"/>
    <w:rsid w:val="00C51838"/>
    <w:rsid w:val="00C52422"/>
    <w:rsid w:val="00C52425"/>
    <w:rsid w:val="00C52844"/>
    <w:rsid w:val="00C534E3"/>
    <w:rsid w:val="00C54E54"/>
    <w:rsid w:val="00C55101"/>
    <w:rsid w:val="00C55892"/>
    <w:rsid w:val="00C5613F"/>
    <w:rsid w:val="00C56A32"/>
    <w:rsid w:val="00C57135"/>
    <w:rsid w:val="00C57725"/>
    <w:rsid w:val="00C61ACD"/>
    <w:rsid w:val="00C61AEA"/>
    <w:rsid w:val="00C63ED5"/>
    <w:rsid w:val="00C64689"/>
    <w:rsid w:val="00C64AB9"/>
    <w:rsid w:val="00C64B20"/>
    <w:rsid w:val="00C654F3"/>
    <w:rsid w:val="00C65DE0"/>
    <w:rsid w:val="00C66888"/>
    <w:rsid w:val="00C669C1"/>
    <w:rsid w:val="00C66AB3"/>
    <w:rsid w:val="00C67518"/>
    <w:rsid w:val="00C67639"/>
    <w:rsid w:val="00C701BE"/>
    <w:rsid w:val="00C7037F"/>
    <w:rsid w:val="00C71975"/>
    <w:rsid w:val="00C71B95"/>
    <w:rsid w:val="00C71CE5"/>
    <w:rsid w:val="00C7268B"/>
    <w:rsid w:val="00C72DBB"/>
    <w:rsid w:val="00C72E78"/>
    <w:rsid w:val="00C733D6"/>
    <w:rsid w:val="00C74170"/>
    <w:rsid w:val="00C74582"/>
    <w:rsid w:val="00C74F30"/>
    <w:rsid w:val="00C75FE8"/>
    <w:rsid w:val="00C76010"/>
    <w:rsid w:val="00C775CF"/>
    <w:rsid w:val="00C8048F"/>
    <w:rsid w:val="00C81248"/>
    <w:rsid w:val="00C815C6"/>
    <w:rsid w:val="00C8195F"/>
    <w:rsid w:val="00C81D0C"/>
    <w:rsid w:val="00C8282D"/>
    <w:rsid w:val="00C83854"/>
    <w:rsid w:val="00C84E4C"/>
    <w:rsid w:val="00C85351"/>
    <w:rsid w:val="00C85C6A"/>
    <w:rsid w:val="00C86C33"/>
    <w:rsid w:val="00C90446"/>
    <w:rsid w:val="00C90D12"/>
    <w:rsid w:val="00C9119A"/>
    <w:rsid w:val="00C91424"/>
    <w:rsid w:val="00C92C87"/>
    <w:rsid w:val="00C92DA8"/>
    <w:rsid w:val="00C932AB"/>
    <w:rsid w:val="00C932C1"/>
    <w:rsid w:val="00C936E8"/>
    <w:rsid w:val="00C93DB0"/>
    <w:rsid w:val="00C94270"/>
    <w:rsid w:val="00C94658"/>
    <w:rsid w:val="00C94B12"/>
    <w:rsid w:val="00C96D90"/>
    <w:rsid w:val="00CA081C"/>
    <w:rsid w:val="00CA2F96"/>
    <w:rsid w:val="00CA3EDE"/>
    <w:rsid w:val="00CA52D0"/>
    <w:rsid w:val="00CA5AA3"/>
    <w:rsid w:val="00CA5D1B"/>
    <w:rsid w:val="00CA604E"/>
    <w:rsid w:val="00CA6095"/>
    <w:rsid w:val="00CA6348"/>
    <w:rsid w:val="00CA64E0"/>
    <w:rsid w:val="00CA6B6A"/>
    <w:rsid w:val="00CB0157"/>
    <w:rsid w:val="00CB0BB4"/>
    <w:rsid w:val="00CB1414"/>
    <w:rsid w:val="00CB143D"/>
    <w:rsid w:val="00CB1D5D"/>
    <w:rsid w:val="00CB29BD"/>
    <w:rsid w:val="00CB4101"/>
    <w:rsid w:val="00CB43AE"/>
    <w:rsid w:val="00CB44FD"/>
    <w:rsid w:val="00CB4EBA"/>
    <w:rsid w:val="00CB5944"/>
    <w:rsid w:val="00CB6423"/>
    <w:rsid w:val="00CB64EE"/>
    <w:rsid w:val="00CB6DE2"/>
    <w:rsid w:val="00CB7115"/>
    <w:rsid w:val="00CB7A99"/>
    <w:rsid w:val="00CB7E82"/>
    <w:rsid w:val="00CC0E45"/>
    <w:rsid w:val="00CC1073"/>
    <w:rsid w:val="00CC12CD"/>
    <w:rsid w:val="00CC23AF"/>
    <w:rsid w:val="00CC4E76"/>
    <w:rsid w:val="00CC5FEA"/>
    <w:rsid w:val="00CC64A9"/>
    <w:rsid w:val="00CC7377"/>
    <w:rsid w:val="00CC7553"/>
    <w:rsid w:val="00CC7CF6"/>
    <w:rsid w:val="00CD0835"/>
    <w:rsid w:val="00CD1F95"/>
    <w:rsid w:val="00CD2362"/>
    <w:rsid w:val="00CD2B0E"/>
    <w:rsid w:val="00CD2CBD"/>
    <w:rsid w:val="00CD2DA5"/>
    <w:rsid w:val="00CD2F72"/>
    <w:rsid w:val="00CD3316"/>
    <w:rsid w:val="00CD34B5"/>
    <w:rsid w:val="00CD4994"/>
    <w:rsid w:val="00CD4BEE"/>
    <w:rsid w:val="00CD5D97"/>
    <w:rsid w:val="00CD64C2"/>
    <w:rsid w:val="00CD666B"/>
    <w:rsid w:val="00CD6AC9"/>
    <w:rsid w:val="00CD6BAF"/>
    <w:rsid w:val="00CD78A7"/>
    <w:rsid w:val="00CE05C8"/>
    <w:rsid w:val="00CE1455"/>
    <w:rsid w:val="00CE2235"/>
    <w:rsid w:val="00CE25CD"/>
    <w:rsid w:val="00CE3D9A"/>
    <w:rsid w:val="00CE43C3"/>
    <w:rsid w:val="00CE5311"/>
    <w:rsid w:val="00CE5577"/>
    <w:rsid w:val="00CE5AAD"/>
    <w:rsid w:val="00CE6ECC"/>
    <w:rsid w:val="00CE6F89"/>
    <w:rsid w:val="00CE7184"/>
    <w:rsid w:val="00CE73A5"/>
    <w:rsid w:val="00CE7C0C"/>
    <w:rsid w:val="00CF1954"/>
    <w:rsid w:val="00CF1B8C"/>
    <w:rsid w:val="00CF350E"/>
    <w:rsid w:val="00CF41EB"/>
    <w:rsid w:val="00CF4321"/>
    <w:rsid w:val="00CF470E"/>
    <w:rsid w:val="00CF5302"/>
    <w:rsid w:val="00CF567A"/>
    <w:rsid w:val="00CF57F5"/>
    <w:rsid w:val="00CF58C8"/>
    <w:rsid w:val="00CF58D9"/>
    <w:rsid w:val="00CF67E2"/>
    <w:rsid w:val="00CF6BEA"/>
    <w:rsid w:val="00CF75A1"/>
    <w:rsid w:val="00CF784A"/>
    <w:rsid w:val="00CF7CE9"/>
    <w:rsid w:val="00D0039C"/>
    <w:rsid w:val="00D00400"/>
    <w:rsid w:val="00D00A1D"/>
    <w:rsid w:val="00D01866"/>
    <w:rsid w:val="00D01ADB"/>
    <w:rsid w:val="00D01DA4"/>
    <w:rsid w:val="00D01E70"/>
    <w:rsid w:val="00D0241E"/>
    <w:rsid w:val="00D0244D"/>
    <w:rsid w:val="00D03769"/>
    <w:rsid w:val="00D03F7B"/>
    <w:rsid w:val="00D048F3"/>
    <w:rsid w:val="00D052B3"/>
    <w:rsid w:val="00D05DB4"/>
    <w:rsid w:val="00D07C6E"/>
    <w:rsid w:val="00D106F2"/>
    <w:rsid w:val="00D11376"/>
    <w:rsid w:val="00D11451"/>
    <w:rsid w:val="00D11453"/>
    <w:rsid w:val="00D12228"/>
    <w:rsid w:val="00D1223B"/>
    <w:rsid w:val="00D13062"/>
    <w:rsid w:val="00D13D20"/>
    <w:rsid w:val="00D14515"/>
    <w:rsid w:val="00D1481A"/>
    <w:rsid w:val="00D14CD0"/>
    <w:rsid w:val="00D16254"/>
    <w:rsid w:val="00D16F82"/>
    <w:rsid w:val="00D201A6"/>
    <w:rsid w:val="00D20590"/>
    <w:rsid w:val="00D20A61"/>
    <w:rsid w:val="00D20B97"/>
    <w:rsid w:val="00D20DB0"/>
    <w:rsid w:val="00D220E5"/>
    <w:rsid w:val="00D2286F"/>
    <w:rsid w:val="00D24CEE"/>
    <w:rsid w:val="00D24D2F"/>
    <w:rsid w:val="00D250BA"/>
    <w:rsid w:val="00D25F67"/>
    <w:rsid w:val="00D26073"/>
    <w:rsid w:val="00D2621B"/>
    <w:rsid w:val="00D26A03"/>
    <w:rsid w:val="00D270DB"/>
    <w:rsid w:val="00D27EB2"/>
    <w:rsid w:val="00D307A5"/>
    <w:rsid w:val="00D30F53"/>
    <w:rsid w:val="00D31198"/>
    <w:rsid w:val="00D318FB"/>
    <w:rsid w:val="00D32709"/>
    <w:rsid w:val="00D33D76"/>
    <w:rsid w:val="00D341FB"/>
    <w:rsid w:val="00D344F3"/>
    <w:rsid w:val="00D35329"/>
    <w:rsid w:val="00D357AC"/>
    <w:rsid w:val="00D35CBF"/>
    <w:rsid w:val="00D3611A"/>
    <w:rsid w:val="00D36350"/>
    <w:rsid w:val="00D37427"/>
    <w:rsid w:val="00D40E11"/>
    <w:rsid w:val="00D427D0"/>
    <w:rsid w:val="00D43090"/>
    <w:rsid w:val="00D44AB2"/>
    <w:rsid w:val="00D45B1A"/>
    <w:rsid w:val="00D45B47"/>
    <w:rsid w:val="00D46CA6"/>
    <w:rsid w:val="00D47B22"/>
    <w:rsid w:val="00D5132A"/>
    <w:rsid w:val="00D5255B"/>
    <w:rsid w:val="00D52998"/>
    <w:rsid w:val="00D53370"/>
    <w:rsid w:val="00D534CE"/>
    <w:rsid w:val="00D54042"/>
    <w:rsid w:val="00D54210"/>
    <w:rsid w:val="00D5438B"/>
    <w:rsid w:val="00D547C9"/>
    <w:rsid w:val="00D55C91"/>
    <w:rsid w:val="00D5649A"/>
    <w:rsid w:val="00D56DD2"/>
    <w:rsid w:val="00D5714D"/>
    <w:rsid w:val="00D57951"/>
    <w:rsid w:val="00D6022C"/>
    <w:rsid w:val="00D613A5"/>
    <w:rsid w:val="00D6175F"/>
    <w:rsid w:val="00D6227A"/>
    <w:rsid w:val="00D63ED2"/>
    <w:rsid w:val="00D64B1C"/>
    <w:rsid w:val="00D65761"/>
    <w:rsid w:val="00D658B7"/>
    <w:rsid w:val="00D66038"/>
    <w:rsid w:val="00D66682"/>
    <w:rsid w:val="00D66A28"/>
    <w:rsid w:val="00D66E3F"/>
    <w:rsid w:val="00D66F07"/>
    <w:rsid w:val="00D67340"/>
    <w:rsid w:val="00D676A4"/>
    <w:rsid w:val="00D679DC"/>
    <w:rsid w:val="00D67A4F"/>
    <w:rsid w:val="00D711EB"/>
    <w:rsid w:val="00D714EB"/>
    <w:rsid w:val="00D71BF0"/>
    <w:rsid w:val="00D71EA0"/>
    <w:rsid w:val="00D72D23"/>
    <w:rsid w:val="00D72E41"/>
    <w:rsid w:val="00D72E63"/>
    <w:rsid w:val="00D7391F"/>
    <w:rsid w:val="00D74752"/>
    <w:rsid w:val="00D75405"/>
    <w:rsid w:val="00D75457"/>
    <w:rsid w:val="00D76C20"/>
    <w:rsid w:val="00D7730B"/>
    <w:rsid w:val="00D77334"/>
    <w:rsid w:val="00D77715"/>
    <w:rsid w:val="00D77824"/>
    <w:rsid w:val="00D7790B"/>
    <w:rsid w:val="00D810D6"/>
    <w:rsid w:val="00D81DEC"/>
    <w:rsid w:val="00D825EC"/>
    <w:rsid w:val="00D82F7C"/>
    <w:rsid w:val="00D83C2E"/>
    <w:rsid w:val="00D8406D"/>
    <w:rsid w:val="00D85243"/>
    <w:rsid w:val="00D85407"/>
    <w:rsid w:val="00D8756A"/>
    <w:rsid w:val="00D918F0"/>
    <w:rsid w:val="00D91BE8"/>
    <w:rsid w:val="00D931C8"/>
    <w:rsid w:val="00D937E4"/>
    <w:rsid w:val="00D93C2A"/>
    <w:rsid w:val="00D95686"/>
    <w:rsid w:val="00D96697"/>
    <w:rsid w:val="00D972F5"/>
    <w:rsid w:val="00D97728"/>
    <w:rsid w:val="00DA14F6"/>
    <w:rsid w:val="00DA297A"/>
    <w:rsid w:val="00DA3B4A"/>
    <w:rsid w:val="00DA3BF5"/>
    <w:rsid w:val="00DA5370"/>
    <w:rsid w:val="00DA6C3F"/>
    <w:rsid w:val="00DA6FB0"/>
    <w:rsid w:val="00DA7958"/>
    <w:rsid w:val="00DB014B"/>
    <w:rsid w:val="00DB0F66"/>
    <w:rsid w:val="00DB21AF"/>
    <w:rsid w:val="00DB2FF4"/>
    <w:rsid w:val="00DB3892"/>
    <w:rsid w:val="00DB39F1"/>
    <w:rsid w:val="00DB43C6"/>
    <w:rsid w:val="00DB45BB"/>
    <w:rsid w:val="00DB5131"/>
    <w:rsid w:val="00DB545A"/>
    <w:rsid w:val="00DB5791"/>
    <w:rsid w:val="00DB5C57"/>
    <w:rsid w:val="00DB600E"/>
    <w:rsid w:val="00DB6401"/>
    <w:rsid w:val="00DC19B5"/>
    <w:rsid w:val="00DC2381"/>
    <w:rsid w:val="00DC2C63"/>
    <w:rsid w:val="00DC37C0"/>
    <w:rsid w:val="00DC4B50"/>
    <w:rsid w:val="00DC4B80"/>
    <w:rsid w:val="00DC4B88"/>
    <w:rsid w:val="00DC5B6E"/>
    <w:rsid w:val="00DC66D4"/>
    <w:rsid w:val="00DC6E6A"/>
    <w:rsid w:val="00DC74C0"/>
    <w:rsid w:val="00DD00DC"/>
    <w:rsid w:val="00DD14E2"/>
    <w:rsid w:val="00DD230A"/>
    <w:rsid w:val="00DD2F8A"/>
    <w:rsid w:val="00DD30A9"/>
    <w:rsid w:val="00DD57A8"/>
    <w:rsid w:val="00DD599F"/>
    <w:rsid w:val="00DD69C5"/>
    <w:rsid w:val="00DD74EB"/>
    <w:rsid w:val="00DD7AE7"/>
    <w:rsid w:val="00DE0245"/>
    <w:rsid w:val="00DE0F72"/>
    <w:rsid w:val="00DE0F81"/>
    <w:rsid w:val="00DE229F"/>
    <w:rsid w:val="00DE2E3E"/>
    <w:rsid w:val="00DE2E90"/>
    <w:rsid w:val="00DE3661"/>
    <w:rsid w:val="00DE37B6"/>
    <w:rsid w:val="00DE451B"/>
    <w:rsid w:val="00DE48A0"/>
    <w:rsid w:val="00DE4F3B"/>
    <w:rsid w:val="00DE58DA"/>
    <w:rsid w:val="00DE6953"/>
    <w:rsid w:val="00DE6C66"/>
    <w:rsid w:val="00DE72E5"/>
    <w:rsid w:val="00DF027A"/>
    <w:rsid w:val="00DF02DB"/>
    <w:rsid w:val="00DF0AD2"/>
    <w:rsid w:val="00DF12BA"/>
    <w:rsid w:val="00DF1BC4"/>
    <w:rsid w:val="00DF28E3"/>
    <w:rsid w:val="00DF2D02"/>
    <w:rsid w:val="00DF721D"/>
    <w:rsid w:val="00E00056"/>
    <w:rsid w:val="00E001AD"/>
    <w:rsid w:val="00E00751"/>
    <w:rsid w:val="00E00F03"/>
    <w:rsid w:val="00E01715"/>
    <w:rsid w:val="00E02039"/>
    <w:rsid w:val="00E041BA"/>
    <w:rsid w:val="00E04619"/>
    <w:rsid w:val="00E0480A"/>
    <w:rsid w:val="00E05298"/>
    <w:rsid w:val="00E05FDD"/>
    <w:rsid w:val="00E0635F"/>
    <w:rsid w:val="00E06EED"/>
    <w:rsid w:val="00E10AE5"/>
    <w:rsid w:val="00E10B92"/>
    <w:rsid w:val="00E1129F"/>
    <w:rsid w:val="00E118F0"/>
    <w:rsid w:val="00E11E87"/>
    <w:rsid w:val="00E125EF"/>
    <w:rsid w:val="00E1313A"/>
    <w:rsid w:val="00E13785"/>
    <w:rsid w:val="00E13BED"/>
    <w:rsid w:val="00E14D01"/>
    <w:rsid w:val="00E15081"/>
    <w:rsid w:val="00E15A3E"/>
    <w:rsid w:val="00E162C4"/>
    <w:rsid w:val="00E16A85"/>
    <w:rsid w:val="00E16AFA"/>
    <w:rsid w:val="00E16CF4"/>
    <w:rsid w:val="00E16F29"/>
    <w:rsid w:val="00E20070"/>
    <w:rsid w:val="00E20593"/>
    <w:rsid w:val="00E21919"/>
    <w:rsid w:val="00E21EA6"/>
    <w:rsid w:val="00E22764"/>
    <w:rsid w:val="00E228DA"/>
    <w:rsid w:val="00E23A77"/>
    <w:rsid w:val="00E24D06"/>
    <w:rsid w:val="00E2568F"/>
    <w:rsid w:val="00E2655F"/>
    <w:rsid w:val="00E26E7A"/>
    <w:rsid w:val="00E275F9"/>
    <w:rsid w:val="00E27776"/>
    <w:rsid w:val="00E3035C"/>
    <w:rsid w:val="00E3048F"/>
    <w:rsid w:val="00E3080E"/>
    <w:rsid w:val="00E31806"/>
    <w:rsid w:val="00E31B39"/>
    <w:rsid w:val="00E31E35"/>
    <w:rsid w:val="00E321ED"/>
    <w:rsid w:val="00E33222"/>
    <w:rsid w:val="00E33F25"/>
    <w:rsid w:val="00E35083"/>
    <w:rsid w:val="00E3533C"/>
    <w:rsid w:val="00E35D2D"/>
    <w:rsid w:val="00E3630D"/>
    <w:rsid w:val="00E379D4"/>
    <w:rsid w:val="00E4015A"/>
    <w:rsid w:val="00E409DD"/>
    <w:rsid w:val="00E427AE"/>
    <w:rsid w:val="00E42E02"/>
    <w:rsid w:val="00E4439F"/>
    <w:rsid w:val="00E44E86"/>
    <w:rsid w:val="00E4515A"/>
    <w:rsid w:val="00E45172"/>
    <w:rsid w:val="00E45E4B"/>
    <w:rsid w:val="00E4642B"/>
    <w:rsid w:val="00E47190"/>
    <w:rsid w:val="00E50D09"/>
    <w:rsid w:val="00E519C2"/>
    <w:rsid w:val="00E52DA2"/>
    <w:rsid w:val="00E53365"/>
    <w:rsid w:val="00E537B2"/>
    <w:rsid w:val="00E53DE0"/>
    <w:rsid w:val="00E53DF4"/>
    <w:rsid w:val="00E54B85"/>
    <w:rsid w:val="00E560A2"/>
    <w:rsid w:val="00E60C9A"/>
    <w:rsid w:val="00E61A50"/>
    <w:rsid w:val="00E623FF"/>
    <w:rsid w:val="00E62A96"/>
    <w:rsid w:val="00E634B4"/>
    <w:rsid w:val="00E64253"/>
    <w:rsid w:val="00E6463D"/>
    <w:rsid w:val="00E65252"/>
    <w:rsid w:val="00E65BBC"/>
    <w:rsid w:val="00E65CF1"/>
    <w:rsid w:val="00E664E8"/>
    <w:rsid w:val="00E668F9"/>
    <w:rsid w:val="00E67702"/>
    <w:rsid w:val="00E711CA"/>
    <w:rsid w:val="00E717AE"/>
    <w:rsid w:val="00E72BE4"/>
    <w:rsid w:val="00E738ED"/>
    <w:rsid w:val="00E73EE7"/>
    <w:rsid w:val="00E74929"/>
    <w:rsid w:val="00E74A28"/>
    <w:rsid w:val="00E74A4B"/>
    <w:rsid w:val="00E75189"/>
    <w:rsid w:val="00E75A39"/>
    <w:rsid w:val="00E76535"/>
    <w:rsid w:val="00E7664A"/>
    <w:rsid w:val="00E76713"/>
    <w:rsid w:val="00E76A21"/>
    <w:rsid w:val="00E77183"/>
    <w:rsid w:val="00E7789B"/>
    <w:rsid w:val="00E7789E"/>
    <w:rsid w:val="00E80A35"/>
    <w:rsid w:val="00E80A71"/>
    <w:rsid w:val="00E80EE1"/>
    <w:rsid w:val="00E85344"/>
    <w:rsid w:val="00E85582"/>
    <w:rsid w:val="00E85FB0"/>
    <w:rsid w:val="00E86823"/>
    <w:rsid w:val="00E875F1"/>
    <w:rsid w:val="00E91737"/>
    <w:rsid w:val="00E93081"/>
    <w:rsid w:val="00E94573"/>
    <w:rsid w:val="00E94DCF"/>
    <w:rsid w:val="00E95AAE"/>
    <w:rsid w:val="00E95B93"/>
    <w:rsid w:val="00E9613B"/>
    <w:rsid w:val="00E9631A"/>
    <w:rsid w:val="00E96D27"/>
    <w:rsid w:val="00E97817"/>
    <w:rsid w:val="00EA03FD"/>
    <w:rsid w:val="00EA04D7"/>
    <w:rsid w:val="00EA2CC1"/>
    <w:rsid w:val="00EA3121"/>
    <w:rsid w:val="00EA5017"/>
    <w:rsid w:val="00EA551A"/>
    <w:rsid w:val="00EA6307"/>
    <w:rsid w:val="00EA64D4"/>
    <w:rsid w:val="00EA7C6C"/>
    <w:rsid w:val="00EA7F30"/>
    <w:rsid w:val="00EB0529"/>
    <w:rsid w:val="00EB06D3"/>
    <w:rsid w:val="00EB0737"/>
    <w:rsid w:val="00EB097D"/>
    <w:rsid w:val="00EB0AE2"/>
    <w:rsid w:val="00EB0D15"/>
    <w:rsid w:val="00EB120C"/>
    <w:rsid w:val="00EB2057"/>
    <w:rsid w:val="00EB2D00"/>
    <w:rsid w:val="00EB4006"/>
    <w:rsid w:val="00EB48BB"/>
    <w:rsid w:val="00EB5590"/>
    <w:rsid w:val="00EB56ED"/>
    <w:rsid w:val="00EB6F85"/>
    <w:rsid w:val="00EB7320"/>
    <w:rsid w:val="00EC0020"/>
    <w:rsid w:val="00EC1126"/>
    <w:rsid w:val="00EC13DD"/>
    <w:rsid w:val="00EC2726"/>
    <w:rsid w:val="00EC2DBC"/>
    <w:rsid w:val="00EC2EEB"/>
    <w:rsid w:val="00EC3583"/>
    <w:rsid w:val="00EC4629"/>
    <w:rsid w:val="00EC58AA"/>
    <w:rsid w:val="00EC58C5"/>
    <w:rsid w:val="00EC5937"/>
    <w:rsid w:val="00EC5AC4"/>
    <w:rsid w:val="00EC5B16"/>
    <w:rsid w:val="00EC5B52"/>
    <w:rsid w:val="00EC5F2A"/>
    <w:rsid w:val="00EC6106"/>
    <w:rsid w:val="00EC6BFE"/>
    <w:rsid w:val="00EC7618"/>
    <w:rsid w:val="00ED0753"/>
    <w:rsid w:val="00ED0854"/>
    <w:rsid w:val="00ED4471"/>
    <w:rsid w:val="00ED5184"/>
    <w:rsid w:val="00ED5D55"/>
    <w:rsid w:val="00ED62E8"/>
    <w:rsid w:val="00ED6642"/>
    <w:rsid w:val="00ED7352"/>
    <w:rsid w:val="00ED74EC"/>
    <w:rsid w:val="00EE0067"/>
    <w:rsid w:val="00EE1298"/>
    <w:rsid w:val="00EE1D70"/>
    <w:rsid w:val="00EE300A"/>
    <w:rsid w:val="00EE32B6"/>
    <w:rsid w:val="00EE3768"/>
    <w:rsid w:val="00EE3B5A"/>
    <w:rsid w:val="00EE41F3"/>
    <w:rsid w:val="00EE4B1E"/>
    <w:rsid w:val="00EE529A"/>
    <w:rsid w:val="00EE540B"/>
    <w:rsid w:val="00EE549D"/>
    <w:rsid w:val="00EE57AC"/>
    <w:rsid w:val="00EE5948"/>
    <w:rsid w:val="00EE60F2"/>
    <w:rsid w:val="00EF086F"/>
    <w:rsid w:val="00EF0907"/>
    <w:rsid w:val="00EF0E36"/>
    <w:rsid w:val="00EF15C0"/>
    <w:rsid w:val="00EF243C"/>
    <w:rsid w:val="00EF2930"/>
    <w:rsid w:val="00EF337E"/>
    <w:rsid w:val="00EF4857"/>
    <w:rsid w:val="00EF5028"/>
    <w:rsid w:val="00EF54E1"/>
    <w:rsid w:val="00EF58FD"/>
    <w:rsid w:val="00EF5D3B"/>
    <w:rsid w:val="00EF5FB2"/>
    <w:rsid w:val="00EF65B9"/>
    <w:rsid w:val="00EF729E"/>
    <w:rsid w:val="00EF78A2"/>
    <w:rsid w:val="00F00097"/>
    <w:rsid w:val="00F003F1"/>
    <w:rsid w:val="00F00467"/>
    <w:rsid w:val="00F00667"/>
    <w:rsid w:val="00F00670"/>
    <w:rsid w:val="00F007B2"/>
    <w:rsid w:val="00F007D2"/>
    <w:rsid w:val="00F01607"/>
    <w:rsid w:val="00F01613"/>
    <w:rsid w:val="00F01656"/>
    <w:rsid w:val="00F01A55"/>
    <w:rsid w:val="00F02146"/>
    <w:rsid w:val="00F032A9"/>
    <w:rsid w:val="00F03D6F"/>
    <w:rsid w:val="00F04915"/>
    <w:rsid w:val="00F05848"/>
    <w:rsid w:val="00F063AF"/>
    <w:rsid w:val="00F06885"/>
    <w:rsid w:val="00F06CDB"/>
    <w:rsid w:val="00F06D16"/>
    <w:rsid w:val="00F072EF"/>
    <w:rsid w:val="00F07CE1"/>
    <w:rsid w:val="00F07E7E"/>
    <w:rsid w:val="00F10C87"/>
    <w:rsid w:val="00F11206"/>
    <w:rsid w:val="00F12E73"/>
    <w:rsid w:val="00F130CC"/>
    <w:rsid w:val="00F13294"/>
    <w:rsid w:val="00F137BF"/>
    <w:rsid w:val="00F14666"/>
    <w:rsid w:val="00F146AD"/>
    <w:rsid w:val="00F14A14"/>
    <w:rsid w:val="00F15ECD"/>
    <w:rsid w:val="00F161D7"/>
    <w:rsid w:val="00F173EB"/>
    <w:rsid w:val="00F175D4"/>
    <w:rsid w:val="00F178BB"/>
    <w:rsid w:val="00F17978"/>
    <w:rsid w:val="00F207D7"/>
    <w:rsid w:val="00F20A4F"/>
    <w:rsid w:val="00F211F4"/>
    <w:rsid w:val="00F21487"/>
    <w:rsid w:val="00F2152E"/>
    <w:rsid w:val="00F21C47"/>
    <w:rsid w:val="00F21D7C"/>
    <w:rsid w:val="00F21DC1"/>
    <w:rsid w:val="00F22000"/>
    <w:rsid w:val="00F22487"/>
    <w:rsid w:val="00F237FB"/>
    <w:rsid w:val="00F24D92"/>
    <w:rsid w:val="00F2574D"/>
    <w:rsid w:val="00F26E23"/>
    <w:rsid w:val="00F27345"/>
    <w:rsid w:val="00F27ADA"/>
    <w:rsid w:val="00F30114"/>
    <w:rsid w:val="00F303F5"/>
    <w:rsid w:val="00F309B1"/>
    <w:rsid w:val="00F30AC2"/>
    <w:rsid w:val="00F313AE"/>
    <w:rsid w:val="00F31B08"/>
    <w:rsid w:val="00F3252B"/>
    <w:rsid w:val="00F33519"/>
    <w:rsid w:val="00F3364E"/>
    <w:rsid w:val="00F34639"/>
    <w:rsid w:val="00F34875"/>
    <w:rsid w:val="00F348B7"/>
    <w:rsid w:val="00F35157"/>
    <w:rsid w:val="00F35872"/>
    <w:rsid w:val="00F3638D"/>
    <w:rsid w:val="00F365B9"/>
    <w:rsid w:val="00F366A3"/>
    <w:rsid w:val="00F3700F"/>
    <w:rsid w:val="00F37857"/>
    <w:rsid w:val="00F401A1"/>
    <w:rsid w:val="00F40A5A"/>
    <w:rsid w:val="00F40A88"/>
    <w:rsid w:val="00F40E59"/>
    <w:rsid w:val="00F41C6F"/>
    <w:rsid w:val="00F42263"/>
    <w:rsid w:val="00F423A0"/>
    <w:rsid w:val="00F424F7"/>
    <w:rsid w:val="00F437A8"/>
    <w:rsid w:val="00F43CBB"/>
    <w:rsid w:val="00F4419C"/>
    <w:rsid w:val="00F44D42"/>
    <w:rsid w:val="00F458C8"/>
    <w:rsid w:val="00F476B5"/>
    <w:rsid w:val="00F508AA"/>
    <w:rsid w:val="00F50963"/>
    <w:rsid w:val="00F50FF4"/>
    <w:rsid w:val="00F510C9"/>
    <w:rsid w:val="00F5181C"/>
    <w:rsid w:val="00F52181"/>
    <w:rsid w:val="00F5325B"/>
    <w:rsid w:val="00F535F4"/>
    <w:rsid w:val="00F548DD"/>
    <w:rsid w:val="00F54EB5"/>
    <w:rsid w:val="00F556E4"/>
    <w:rsid w:val="00F559A2"/>
    <w:rsid w:val="00F56CF2"/>
    <w:rsid w:val="00F57C3D"/>
    <w:rsid w:val="00F60232"/>
    <w:rsid w:val="00F6047C"/>
    <w:rsid w:val="00F60A3C"/>
    <w:rsid w:val="00F61B2B"/>
    <w:rsid w:val="00F61C81"/>
    <w:rsid w:val="00F62492"/>
    <w:rsid w:val="00F62644"/>
    <w:rsid w:val="00F62AE4"/>
    <w:rsid w:val="00F63230"/>
    <w:rsid w:val="00F633AD"/>
    <w:rsid w:val="00F63600"/>
    <w:rsid w:val="00F637F2"/>
    <w:rsid w:val="00F64A3E"/>
    <w:rsid w:val="00F65AD4"/>
    <w:rsid w:val="00F65F11"/>
    <w:rsid w:val="00F66651"/>
    <w:rsid w:val="00F66985"/>
    <w:rsid w:val="00F67B77"/>
    <w:rsid w:val="00F712C5"/>
    <w:rsid w:val="00F71B12"/>
    <w:rsid w:val="00F71B6B"/>
    <w:rsid w:val="00F7299B"/>
    <w:rsid w:val="00F72C41"/>
    <w:rsid w:val="00F73400"/>
    <w:rsid w:val="00F73C6E"/>
    <w:rsid w:val="00F73CCE"/>
    <w:rsid w:val="00F742A0"/>
    <w:rsid w:val="00F765FE"/>
    <w:rsid w:val="00F76DF1"/>
    <w:rsid w:val="00F771D0"/>
    <w:rsid w:val="00F77943"/>
    <w:rsid w:val="00F80FEB"/>
    <w:rsid w:val="00F81546"/>
    <w:rsid w:val="00F81AF0"/>
    <w:rsid w:val="00F82704"/>
    <w:rsid w:val="00F840FD"/>
    <w:rsid w:val="00F846C9"/>
    <w:rsid w:val="00F848EB"/>
    <w:rsid w:val="00F84D18"/>
    <w:rsid w:val="00F879D3"/>
    <w:rsid w:val="00F90B42"/>
    <w:rsid w:val="00F9115B"/>
    <w:rsid w:val="00F91869"/>
    <w:rsid w:val="00F923D6"/>
    <w:rsid w:val="00F925E5"/>
    <w:rsid w:val="00F927C2"/>
    <w:rsid w:val="00F92D0A"/>
    <w:rsid w:val="00F93DCA"/>
    <w:rsid w:val="00F93E90"/>
    <w:rsid w:val="00F94D05"/>
    <w:rsid w:val="00F97B1A"/>
    <w:rsid w:val="00F97FFC"/>
    <w:rsid w:val="00FA0F1C"/>
    <w:rsid w:val="00FA2AB2"/>
    <w:rsid w:val="00FA3738"/>
    <w:rsid w:val="00FA4885"/>
    <w:rsid w:val="00FA4DB4"/>
    <w:rsid w:val="00FA650B"/>
    <w:rsid w:val="00FB1848"/>
    <w:rsid w:val="00FB2036"/>
    <w:rsid w:val="00FB2444"/>
    <w:rsid w:val="00FB38F8"/>
    <w:rsid w:val="00FB477A"/>
    <w:rsid w:val="00FB4DC4"/>
    <w:rsid w:val="00FB4F91"/>
    <w:rsid w:val="00FB540C"/>
    <w:rsid w:val="00FB58C5"/>
    <w:rsid w:val="00FB5D6B"/>
    <w:rsid w:val="00FB6484"/>
    <w:rsid w:val="00FC0342"/>
    <w:rsid w:val="00FC03F1"/>
    <w:rsid w:val="00FC2102"/>
    <w:rsid w:val="00FC3034"/>
    <w:rsid w:val="00FC3C52"/>
    <w:rsid w:val="00FC3EA3"/>
    <w:rsid w:val="00FC5060"/>
    <w:rsid w:val="00FC5186"/>
    <w:rsid w:val="00FC68B3"/>
    <w:rsid w:val="00FC723C"/>
    <w:rsid w:val="00FC78EE"/>
    <w:rsid w:val="00FC7F00"/>
    <w:rsid w:val="00FD0B74"/>
    <w:rsid w:val="00FD0F3E"/>
    <w:rsid w:val="00FD2CDC"/>
    <w:rsid w:val="00FD2D7A"/>
    <w:rsid w:val="00FD3339"/>
    <w:rsid w:val="00FD465A"/>
    <w:rsid w:val="00FD496B"/>
    <w:rsid w:val="00FD4E68"/>
    <w:rsid w:val="00FD5A4C"/>
    <w:rsid w:val="00FD5CA3"/>
    <w:rsid w:val="00FD6D19"/>
    <w:rsid w:val="00FD71B3"/>
    <w:rsid w:val="00FD77CC"/>
    <w:rsid w:val="00FD7A93"/>
    <w:rsid w:val="00FE027B"/>
    <w:rsid w:val="00FE0AD1"/>
    <w:rsid w:val="00FE3257"/>
    <w:rsid w:val="00FE339A"/>
    <w:rsid w:val="00FE39A6"/>
    <w:rsid w:val="00FE3E12"/>
    <w:rsid w:val="00FE491A"/>
    <w:rsid w:val="00FE51BC"/>
    <w:rsid w:val="00FE55C7"/>
    <w:rsid w:val="00FE5BFB"/>
    <w:rsid w:val="00FE5CD1"/>
    <w:rsid w:val="00FE6967"/>
    <w:rsid w:val="00FE6D13"/>
    <w:rsid w:val="00FE78EA"/>
    <w:rsid w:val="00FF17DE"/>
    <w:rsid w:val="00FF1DD6"/>
    <w:rsid w:val="00FF1FBD"/>
    <w:rsid w:val="00FF214C"/>
    <w:rsid w:val="00FF246D"/>
    <w:rsid w:val="00FF2FFD"/>
    <w:rsid w:val="00FF3E35"/>
    <w:rsid w:val="00FF4CC6"/>
    <w:rsid w:val="00FF566F"/>
    <w:rsid w:val="00FF6493"/>
    <w:rsid w:val="00FF69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15E7"/>
  <w15:chartTrackingRefBased/>
  <w15:docId w15:val="{08464D87-F635-4D3A-81DC-5D8A1DCA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C3D"/>
  </w:style>
  <w:style w:type="paragraph" w:styleId="Overskrift1">
    <w:name w:val="heading 1"/>
    <w:basedOn w:val="Normal"/>
    <w:next w:val="Normal"/>
    <w:link w:val="Overskrift1Tegn"/>
    <w:uiPriority w:val="9"/>
    <w:qFormat/>
    <w:rsid w:val="008C2AB3"/>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unhideWhenUsed/>
    <w:qFormat/>
    <w:rsid w:val="008C2AB3"/>
    <w:pPr>
      <w:keepNext/>
      <w:keepLines/>
      <w:spacing w:before="40" w:after="0"/>
      <w:outlineLvl w:val="1"/>
    </w:pPr>
    <w:rPr>
      <w:rFonts w:asciiTheme="majorHAnsi" w:eastAsiaTheme="majorEastAsia" w:hAnsiTheme="majorHAnsi" w:cstheme="majorBidi"/>
      <w:b/>
      <w:sz w:val="28"/>
      <w:szCs w:val="26"/>
    </w:rPr>
  </w:style>
  <w:style w:type="paragraph" w:styleId="Overskrift3">
    <w:name w:val="heading 3"/>
    <w:basedOn w:val="Normal"/>
    <w:next w:val="Normal"/>
    <w:link w:val="Overskrift3Tegn"/>
    <w:autoRedefine/>
    <w:uiPriority w:val="9"/>
    <w:unhideWhenUsed/>
    <w:qFormat/>
    <w:rsid w:val="00AD4950"/>
    <w:pPr>
      <w:keepNext/>
      <w:keepLines/>
      <w:spacing w:before="40" w:after="0"/>
      <w:outlineLvl w:val="2"/>
    </w:pPr>
    <w:rPr>
      <w:rFonts w:asciiTheme="majorHAnsi" w:eastAsiaTheme="majorEastAsia" w:hAnsiTheme="majorHAnsi" w:cstheme="majorBidi"/>
      <w:b/>
      <w:bCs/>
      <w:sz w:val="24"/>
      <w:szCs w:val="24"/>
    </w:rPr>
  </w:style>
  <w:style w:type="paragraph" w:styleId="Overskrift4">
    <w:name w:val="heading 4"/>
    <w:basedOn w:val="Normal"/>
    <w:next w:val="Normal"/>
    <w:link w:val="Overskrift4Tegn"/>
    <w:uiPriority w:val="9"/>
    <w:unhideWhenUsed/>
    <w:qFormat/>
    <w:rsid w:val="008C2AB3"/>
    <w:pPr>
      <w:keepNext/>
      <w:keepLines/>
      <w:spacing w:before="40" w:after="0"/>
      <w:outlineLvl w:val="3"/>
    </w:pPr>
    <w:rPr>
      <w:rFonts w:asciiTheme="majorHAnsi" w:eastAsiaTheme="majorEastAsia" w:hAnsiTheme="majorHAnsi" w:cstheme="majorBidi"/>
      <w:i/>
      <w:iCs/>
    </w:rPr>
  </w:style>
  <w:style w:type="paragraph" w:styleId="Overskrift5">
    <w:name w:val="heading 5"/>
    <w:basedOn w:val="Normal"/>
    <w:next w:val="Normal"/>
    <w:link w:val="Overskrift5Tegn"/>
    <w:uiPriority w:val="9"/>
    <w:unhideWhenUsed/>
    <w:qFormat/>
    <w:rsid w:val="004C03CD"/>
    <w:pPr>
      <w:keepNext/>
      <w:keepLines/>
      <w:spacing w:before="40" w:after="0"/>
      <w:outlineLvl w:val="4"/>
    </w:pPr>
    <w:rPr>
      <w:rFonts w:asciiTheme="majorHAnsi" w:eastAsiaTheme="majorEastAsia" w:hAnsiTheme="majorHAnsi" w:cstheme="majorBidi"/>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2AB3"/>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8C2AB3"/>
    <w:rPr>
      <w:rFonts w:asciiTheme="majorHAnsi" w:eastAsiaTheme="majorEastAsia" w:hAnsiTheme="majorHAnsi" w:cstheme="majorBidi"/>
      <w:b/>
      <w:sz w:val="28"/>
      <w:szCs w:val="26"/>
    </w:rPr>
  </w:style>
  <w:style w:type="character" w:customStyle="1" w:styleId="Overskrift3Tegn">
    <w:name w:val="Overskrift 3 Tegn"/>
    <w:basedOn w:val="Standardskriftforavsnitt"/>
    <w:link w:val="Overskrift3"/>
    <w:uiPriority w:val="9"/>
    <w:rsid w:val="00AD4950"/>
    <w:rPr>
      <w:rFonts w:asciiTheme="majorHAnsi" w:eastAsiaTheme="majorEastAsia" w:hAnsiTheme="majorHAnsi" w:cstheme="majorBidi"/>
      <w:b/>
      <w:bCs/>
      <w:sz w:val="24"/>
      <w:szCs w:val="24"/>
    </w:rPr>
  </w:style>
  <w:style w:type="character" w:customStyle="1" w:styleId="Overskrift4Tegn">
    <w:name w:val="Overskrift 4 Tegn"/>
    <w:basedOn w:val="Standardskriftforavsnitt"/>
    <w:link w:val="Overskrift4"/>
    <w:uiPriority w:val="9"/>
    <w:rsid w:val="008C2AB3"/>
    <w:rPr>
      <w:rFonts w:asciiTheme="majorHAnsi" w:eastAsiaTheme="majorEastAsia" w:hAnsiTheme="majorHAnsi" w:cstheme="majorBidi"/>
      <w:i/>
      <w:iCs/>
    </w:rPr>
  </w:style>
  <w:style w:type="character" w:customStyle="1" w:styleId="Overskrift5Tegn">
    <w:name w:val="Overskrift 5 Tegn"/>
    <w:basedOn w:val="Standardskriftforavsnitt"/>
    <w:link w:val="Overskrift5"/>
    <w:uiPriority w:val="9"/>
    <w:rsid w:val="004C03CD"/>
    <w:rPr>
      <w:rFonts w:asciiTheme="majorHAnsi" w:eastAsiaTheme="majorEastAsia" w:hAnsiTheme="majorHAnsi" w:cstheme="majorBidi"/>
    </w:rPr>
  </w:style>
  <w:style w:type="paragraph" w:styleId="Tittel">
    <w:name w:val="Title"/>
    <w:basedOn w:val="Normal"/>
    <w:next w:val="Normal"/>
    <w:link w:val="TittelTegn"/>
    <w:uiPriority w:val="10"/>
    <w:qFormat/>
    <w:rsid w:val="00F57C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7C3D"/>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F57C3D"/>
    <w:pPr>
      <w:ind w:left="720"/>
      <w:contextualSpacing/>
    </w:pPr>
  </w:style>
  <w:style w:type="character" w:styleId="Hyperkobling">
    <w:name w:val="Hyperlink"/>
    <w:basedOn w:val="Standardskriftforavsnitt"/>
    <w:uiPriority w:val="99"/>
    <w:unhideWhenUsed/>
    <w:rsid w:val="00F57C3D"/>
    <w:rPr>
      <w:color w:val="0563C1" w:themeColor="hyperlink"/>
      <w:u w:val="single"/>
    </w:rPr>
  </w:style>
  <w:style w:type="character" w:styleId="Ulstomtale">
    <w:name w:val="Unresolved Mention"/>
    <w:basedOn w:val="Standardskriftforavsnitt"/>
    <w:uiPriority w:val="99"/>
    <w:semiHidden/>
    <w:unhideWhenUsed/>
    <w:rsid w:val="00F57C3D"/>
    <w:rPr>
      <w:color w:val="605E5C"/>
      <w:shd w:val="clear" w:color="auto" w:fill="E1DFDD"/>
    </w:rPr>
  </w:style>
  <w:style w:type="paragraph" w:styleId="Fotnotetekst">
    <w:name w:val="footnote text"/>
    <w:basedOn w:val="Normal"/>
    <w:link w:val="FotnotetekstTegn"/>
    <w:uiPriority w:val="99"/>
    <w:semiHidden/>
    <w:unhideWhenUsed/>
    <w:rsid w:val="00F57C3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57C3D"/>
    <w:rPr>
      <w:sz w:val="20"/>
      <w:szCs w:val="20"/>
    </w:rPr>
  </w:style>
  <w:style w:type="character" w:styleId="Fotnotereferanse">
    <w:name w:val="footnote reference"/>
    <w:basedOn w:val="Standardskriftforavsnitt"/>
    <w:uiPriority w:val="99"/>
    <w:semiHidden/>
    <w:unhideWhenUsed/>
    <w:rsid w:val="00F57C3D"/>
    <w:rPr>
      <w:vertAlign w:val="superscript"/>
    </w:rPr>
  </w:style>
  <w:style w:type="paragraph" w:styleId="Overskriftforinnholdsfortegnelse">
    <w:name w:val="TOC Heading"/>
    <w:basedOn w:val="Overskrift1"/>
    <w:next w:val="Normal"/>
    <w:uiPriority w:val="39"/>
    <w:unhideWhenUsed/>
    <w:qFormat/>
    <w:rsid w:val="008C2AB3"/>
    <w:pPr>
      <w:outlineLvl w:val="9"/>
    </w:pPr>
    <w:rPr>
      <w:lang w:eastAsia="nb-NO"/>
    </w:rPr>
  </w:style>
  <w:style w:type="paragraph" w:styleId="INNH1">
    <w:name w:val="toc 1"/>
    <w:basedOn w:val="Normal"/>
    <w:next w:val="Normal"/>
    <w:autoRedefine/>
    <w:uiPriority w:val="39"/>
    <w:unhideWhenUsed/>
    <w:rsid w:val="008C2AB3"/>
    <w:pPr>
      <w:spacing w:after="100"/>
    </w:pPr>
  </w:style>
  <w:style w:type="paragraph" w:styleId="INNH2">
    <w:name w:val="toc 2"/>
    <w:basedOn w:val="Normal"/>
    <w:next w:val="Normal"/>
    <w:autoRedefine/>
    <w:uiPriority w:val="39"/>
    <w:unhideWhenUsed/>
    <w:rsid w:val="00361EF2"/>
    <w:pPr>
      <w:tabs>
        <w:tab w:val="left" w:pos="720"/>
        <w:tab w:val="right" w:leader="dot" w:pos="9062"/>
      </w:tabs>
      <w:spacing w:after="100"/>
      <w:ind w:left="220"/>
    </w:pPr>
  </w:style>
  <w:style w:type="paragraph" w:styleId="INNH3">
    <w:name w:val="toc 3"/>
    <w:basedOn w:val="Normal"/>
    <w:next w:val="Normal"/>
    <w:autoRedefine/>
    <w:uiPriority w:val="39"/>
    <w:unhideWhenUsed/>
    <w:rsid w:val="00D2621B"/>
    <w:pPr>
      <w:tabs>
        <w:tab w:val="left" w:pos="1200"/>
        <w:tab w:val="right" w:leader="dot" w:pos="9062"/>
      </w:tabs>
      <w:spacing w:after="100"/>
      <w:ind w:left="440"/>
    </w:pPr>
  </w:style>
  <w:style w:type="paragraph" w:styleId="Topptekst">
    <w:name w:val="header"/>
    <w:basedOn w:val="Normal"/>
    <w:link w:val="TopptekstTegn"/>
    <w:uiPriority w:val="99"/>
    <w:unhideWhenUsed/>
    <w:rsid w:val="004E1B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1B7A"/>
  </w:style>
  <w:style w:type="paragraph" w:styleId="Bunntekst">
    <w:name w:val="footer"/>
    <w:basedOn w:val="Normal"/>
    <w:link w:val="BunntekstTegn"/>
    <w:uiPriority w:val="99"/>
    <w:unhideWhenUsed/>
    <w:rsid w:val="004E1B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E1B7A"/>
  </w:style>
  <w:style w:type="paragraph" w:styleId="Revisjon">
    <w:name w:val="Revision"/>
    <w:hidden/>
    <w:uiPriority w:val="99"/>
    <w:semiHidden/>
    <w:rsid w:val="004114A9"/>
    <w:pPr>
      <w:spacing w:after="0" w:line="240" w:lineRule="auto"/>
    </w:pPr>
  </w:style>
  <w:style w:type="character" w:styleId="Merknadsreferanse">
    <w:name w:val="annotation reference"/>
    <w:basedOn w:val="Standardskriftforavsnitt"/>
    <w:uiPriority w:val="99"/>
    <w:semiHidden/>
    <w:unhideWhenUsed/>
    <w:rsid w:val="00A61F8D"/>
    <w:rPr>
      <w:sz w:val="16"/>
      <w:szCs w:val="16"/>
    </w:rPr>
  </w:style>
  <w:style w:type="paragraph" w:styleId="Merknadstekst">
    <w:name w:val="annotation text"/>
    <w:basedOn w:val="Normal"/>
    <w:link w:val="MerknadstekstTegn"/>
    <w:uiPriority w:val="99"/>
    <w:unhideWhenUsed/>
    <w:rsid w:val="00A61F8D"/>
    <w:pPr>
      <w:spacing w:line="240" w:lineRule="auto"/>
    </w:pPr>
    <w:rPr>
      <w:sz w:val="20"/>
      <w:szCs w:val="20"/>
    </w:rPr>
  </w:style>
  <w:style w:type="character" w:customStyle="1" w:styleId="MerknadstekstTegn">
    <w:name w:val="Merknadstekst Tegn"/>
    <w:basedOn w:val="Standardskriftforavsnitt"/>
    <w:link w:val="Merknadstekst"/>
    <w:uiPriority w:val="99"/>
    <w:rsid w:val="00A61F8D"/>
    <w:rPr>
      <w:sz w:val="20"/>
      <w:szCs w:val="20"/>
    </w:rPr>
  </w:style>
  <w:style w:type="paragraph" w:styleId="Kommentaremne">
    <w:name w:val="annotation subject"/>
    <w:basedOn w:val="Merknadstekst"/>
    <w:next w:val="Merknadstekst"/>
    <w:link w:val="KommentaremneTegn"/>
    <w:uiPriority w:val="99"/>
    <w:semiHidden/>
    <w:unhideWhenUsed/>
    <w:rsid w:val="00A61F8D"/>
    <w:rPr>
      <w:b/>
      <w:bCs/>
    </w:rPr>
  </w:style>
  <w:style w:type="character" w:customStyle="1" w:styleId="KommentaremneTegn">
    <w:name w:val="Kommentaremne Tegn"/>
    <w:basedOn w:val="MerknadstekstTegn"/>
    <w:link w:val="Kommentaremne"/>
    <w:uiPriority w:val="99"/>
    <w:semiHidden/>
    <w:rsid w:val="00A61F8D"/>
    <w:rPr>
      <w:b/>
      <w:bCs/>
      <w:sz w:val="20"/>
      <w:szCs w:val="20"/>
    </w:rPr>
  </w:style>
  <w:style w:type="character" w:styleId="Fulgthyperkobling">
    <w:name w:val="FollowedHyperlink"/>
    <w:basedOn w:val="Standardskriftforavsnitt"/>
    <w:uiPriority w:val="99"/>
    <w:semiHidden/>
    <w:unhideWhenUsed/>
    <w:rsid w:val="00951479"/>
    <w:rPr>
      <w:color w:val="954F72" w:themeColor="followedHyperlink"/>
      <w:u w:val="single"/>
    </w:rPr>
  </w:style>
  <w:style w:type="paragraph" w:styleId="NormalWeb">
    <w:name w:val="Normal (Web)"/>
    <w:basedOn w:val="Normal"/>
    <w:uiPriority w:val="99"/>
    <w:semiHidden/>
    <w:unhideWhenUsed/>
    <w:rsid w:val="005B404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B4049"/>
    <w:rPr>
      <w:b/>
      <w:bCs/>
    </w:rPr>
  </w:style>
  <w:style w:type="paragraph" w:styleId="Ingenmellomrom">
    <w:name w:val="No Spacing"/>
    <w:link w:val="IngenmellomromTegn"/>
    <w:uiPriority w:val="1"/>
    <w:qFormat/>
    <w:rsid w:val="000F4B4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F4B4F"/>
    <w:rPr>
      <w:rFonts w:eastAsiaTheme="minorEastAsia"/>
      <w:lang w:eastAsia="nb-NO"/>
    </w:rPr>
  </w:style>
  <w:style w:type="table" w:styleId="Tabellrutenett">
    <w:name w:val="Table Grid"/>
    <w:basedOn w:val="Vanligtabell"/>
    <w:uiPriority w:val="39"/>
    <w:rsid w:val="00D66F07"/>
    <w:pPr>
      <w:spacing w:after="0" w:line="240" w:lineRule="auto"/>
    </w:pPr>
    <w:rPr>
      <w:rFonts w:eastAsiaTheme="minorEastAsia"/>
      <w:kern w:val="2"/>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469">
      <w:bodyDiv w:val="1"/>
      <w:marLeft w:val="0"/>
      <w:marRight w:val="0"/>
      <w:marTop w:val="0"/>
      <w:marBottom w:val="0"/>
      <w:divBdr>
        <w:top w:val="none" w:sz="0" w:space="0" w:color="auto"/>
        <w:left w:val="none" w:sz="0" w:space="0" w:color="auto"/>
        <w:bottom w:val="none" w:sz="0" w:space="0" w:color="auto"/>
        <w:right w:val="none" w:sz="0" w:space="0" w:color="auto"/>
      </w:divBdr>
    </w:div>
    <w:div w:id="290214085">
      <w:bodyDiv w:val="1"/>
      <w:marLeft w:val="0"/>
      <w:marRight w:val="0"/>
      <w:marTop w:val="0"/>
      <w:marBottom w:val="0"/>
      <w:divBdr>
        <w:top w:val="none" w:sz="0" w:space="0" w:color="auto"/>
        <w:left w:val="none" w:sz="0" w:space="0" w:color="auto"/>
        <w:bottom w:val="none" w:sz="0" w:space="0" w:color="auto"/>
        <w:right w:val="none" w:sz="0" w:space="0" w:color="auto"/>
      </w:divBdr>
    </w:div>
    <w:div w:id="571233587">
      <w:bodyDiv w:val="1"/>
      <w:marLeft w:val="0"/>
      <w:marRight w:val="0"/>
      <w:marTop w:val="0"/>
      <w:marBottom w:val="0"/>
      <w:divBdr>
        <w:top w:val="none" w:sz="0" w:space="0" w:color="auto"/>
        <w:left w:val="none" w:sz="0" w:space="0" w:color="auto"/>
        <w:bottom w:val="none" w:sz="0" w:space="0" w:color="auto"/>
        <w:right w:val="none" w:sz="0" w:space="0" w:color="auto"/>
      </w:divBdr>
    </w:div>
    <w:div w:id="609045096">
      <w:bodyDiv w:val="1"/>
      <w:marLeft w:val="0"/>
      <w:marRight w:val="0"/>
      <w:marTop w:val="0"/>
      <w:marBottom w:val="0"/>
      <w:divBdr>
        <w:top w:val="none" w:sz="0" w:space="0" w:color="auto"/>
        <w:left w:val="none" w:sz="0" w:space="0" w:color="auto"/>
        <w:bottom w:val="none" w:sz="0" w:space="0" w:color="auto"/>
        <w:right w:val="none" w:sz="0" w:space="0" w:color="auto"/>
      </w:divBdr>
    </w:div>
    <w:div w:id="629092132">
      <w:bodyDiv w:val="1"/>
      <w:marLeft w:val="0"/>
      <w:marRight w:val="0"/>
      <w:marTop w:val="0"/>
      <w:marBottom w:val="0"/>
      <w:divBdr>
        <w:top w:val="none" w:sz="0" w:space="0" w:color="auto"/>
        <w:left w:val="none" w:sz="0" w:space="0" w:color="auto"/>
        <w:bottom w:val="none" w:sz="0" w:space="0" w:color="auto"/>
        <w:right w:val="none" w:sz="0" w:space="0" w:color="auto"/>
      </w:divBdr>
    </w:div>
    <w:div w:id="740175980">
      <w:bodyDiv w:val="1"/>
      <w:marLeft w:val="0"/>
      <w:marRight w:val="0"/>
      <w:marTop w:val="0"/>
      <w:marBottom w:val="0"/>
      <w:divBdr>
        <w:top w:val="none" w:sz="0" w:space="0" w:color="auto"/>
        <w:left w:val="none" w:sz="0" w:space="0" w:color="auto"/>
        <w:bottom w:val="none" w:sz="0" w:space="0" w:color="auto"/>
        <w:right w:val="none" w:sz="0" w:space="0" w:color="auto"/>
      </w:divBdr>
    </w:div>
    <w:div w:id="864174031">
      <w:bodyDiv w:val="1"/>
      <w:marLeft w:val="0"/>
      <w:marRight w:val="0"/>
      <w:marTop w:val="0"/>
      <w:marBottom w:val="0"/>
      <w:divBdr>
        <w:top w:val="none" w:sz="0" w:space="0" w:color="auto"/>
        <w:left w:val="none" w:sz="0" w:space="0" w:color="auto"/>
        <w:bottom w:val="none" w:sz="0" w:space="0" w:color="auto"/>
        <w:right w:val="none" w:sz="0" w:space="0" w:color="auto"/>
      </w:divBdr>
    </w:div>
    <w:div w:id="1064335906">
      <w:bodyDiv w:val="1"/>
      <w:marLeft w:val="0"/>
      <w:marRight w:val="0"/>
      <w:marTop w:val="0"/>
      <w:marBottom w:val="0"/>
      <w:divBdr>
        <w:top w:val="none" w:sz="0" w:space="0" w:color="auto"/>
        <w:left w:val="none" w:sz="0" w:space="0" w:color="auto"/>
        <w:bottom w:val="none" w:sz="0" w:space="0" w:color="auto"/>
        <w:right w:val="none" w:sz="0" w:space="0" w:color="auto"/>
      </w:divBdr>
    </w:div>
    <w:div w:id="1134788340">
      <w:bodyDiv w:val="1"/>
      <w:marLeft w:val="0"/>
      <w:marRight w:val="0"/>
      <w:marTop w:val="0"/>
      <w:marBottom w:val="0"/>
      <w:divBdr>
        <w:top w:val="none" w:sz="0" w:space="0" w:color="auto"/>
        <w:left w:val="none" w:sz="0" w:space="0" w:color="auto"/>
        <w:bottom w:val="none" w:sz="0" w:space="0" w:color="auto"/>
        <w:right w:val="none" w:sz="0" w:space="0" w:color="auto"/>
      </w:divBdr>
      <w:divsChild>
        <w:div w:id="137383446">
          <w:marLeft w:val="0"/>
          <w:marRight w:val="0"/>
          <w:marTop w:val="0"/>
          <w:marBottom w:val="0"/>
          <w:divBdr>
            <w:top w:val="none" w:sz="0" w:space="0" w:color="auto"/>
            <w:left w:val="none" w:sz="0" w:space="0" w:color="auto"/>
            <w:bottom w:val="none" w:sz="0" w:space="0" w:color="auto"/>
            <w:right w:val="none" w:sz="0" w:space="0" w:color="auto"/>
          </w:divBdr>
        </w:div>
        <w:div w:id="282808112">
          <w:marLeft w:val="0"/>
          <w:marRight w:val="0"/>
          <w:marTop w:val="0"/>
          <w:marBottom w:val="0"/>
          <w:divBdr>
            <w:top w:val="none" w:sz="0" w:space="0" w:color="auto"/>
            <w:left w:val="none" w:sz="0" w:space="0" w:color="auto"/>
            <w:bottom w:val="none" w:sz="0" w:space="0" w:color="auto"/>
            <w:right w:val="none" w:sz="0" w:space="0" w:color="auto"/>
          </w:divBdr>
        </w:div>
        <w:div w:id="808324664">
          <w:marLeft w:val="0"/>
          <w:marRight w:val="0"/>
          <w:marTop w:val="0"/>
          <w:marBottom w:val="0"/>
          <w:divBdr>
            <w:top w:val="none" w:sz="0" w:space="0" w:color="auto"/>
            <w:left w:val="none" w:sz="0" w:space="0" w:color="auto"/>
            <w:bottom w:val="none" w:sz="0" w:space="0" w:color="auto"/>
            <w:right w:val="none" w:sz="0" w:space="0" w:color="auto"/>
          </w:divBdr>
        </w:div>
        <w:div w:id="976183381">
          <w:marLeft w:val="0"/>
          <w:marRight w:val="0"/>
          <w:marTop w:val="0"/>
          <w:marBottom w:val="0"/>
          <w:divBdr>
            <w:top w:val="none" w:sz="0" w:space="0" w:color="auto"/>
            <w:left w:val="none" w:sz="0" w:space="0" w:color="auto"/>
            <w:bottom w:val="none" w:sz="0" w:space="0" w:color="auto"/>
            <w:right w:val="none" w:sz="0" w:space="0" w:color="auto"/>
          </w:divBdr>
        </w:div>
        <w:div w:id="1087192778">
          <w:marLeft w:val="0"/>
          <w:marRight w:val="0"/>
          <w:marTop w:val="0"/>
          <w:marBottom w:val="0"/>
          <w:divBdr>
            <w:top w:val="none" w:sz="0" w:space="0" w:color="auto"/>
            <w:left w:val="none" w:sz="0" w:space="0" w:color="auto"/>
            <w:bottom w:val="none" w:sz="0" w:space="0" w:color="auto"/>
            <w:right w:val="none" w:sz="0" w:space="0" w:color="auto"/>
          </w:divBdr>
        </w:div>
        <w:div w:id="1171531880">
          <w:marLeft w:val="0"/>
          <w:marRight w:val="0"/>
          <w:marTop w:val="0"/>
          <w:marBottom w:val="0"/>
          <w:divBdr>
            <w:top w:val="none" w:sz="0" w:space="0" w:color="auto"/>
            <w:left w:val="none" w:sz="0" w:space="0" w:color="auto"/>
            <w:bottom w:val="none" w:sz="0" w:space="0" w:color="auto"/>
            <w:right w:val="none" w:sz="0" w:space="0" w:color="auto"/>
          </w:divBdr>
        </w:div>
        <w:div w:id="1632662910">
          <w:marLeft w:val="0"/>
          <w:marRight w:val="0"/>
          <w:marTop w:val="0"/>
          <w:marBottom w:val="0"/>
          <w:divBdr>
            <w:top w:val="none" w:sz="0" w:space="0" w:color="auto"/>
            <w:left w:val="none" w:sz="0" w:space="0" w:color="auto"/>
            <w:bottom w:val="none" w:sz="0" w:space="0" w:color="auto"/>
            <w:right w:val="none" w:sz="0" w:space="0" w:color="auto"/>
          </w:divBdr>
        </w:div>
        <w:div w:id="2083402632">
          <w:marLeft w:val="0"/>
          <w:marRight w:val="0"/>
          <w:marTop w:val="0"/>
          <w:marBottom w:val="0"/>
          <w:divBdr>
            <w:top w:val="none" w:sz="0" w:space="0" w:color="auto"/>
            <w:left w:val="none" w:sz="0" w:space="0" w:color="auto"/>
            <w:bottom w:val="none" w:sz="0" w:space="0" w:color="auto"/>
            <w:right w:val="none" w:sz="0" w:space="0" w:color="auto"/>
          </w:divBdr>
        </w:div>
        <w:div w:id="2095583864">
          <w:marLeft w:val="0"/>
          <w:marRight w:val="0"/>
          <w:marTop w:val="0"/>
          <w:marBottom w:val="0"/>
          <w:divBdr>
            <w:top w:val="none" w:sz="0" w:space="0" w:color="auto"/>
            <w:left w:val="none" w:sz="0" w:space="0" w:color="auto"/>
            <w:bottom w:val="none" w:sz="0" w:space="0" w:color="auto"/>
            <w:right w:val="none" w:sz="0" w:space="0" w:color="auto"/>
          </w:divBdr>
        </w:div>
      </w:divsChild>
    </w:div>
    <w:div w:id="1141965606">
      <w:bodyDiv w:val="1"/>
      <w:marLeft w:val="0"/>
      <w:marRight w:val="0"/>
      <w:marTop w:val="0"/>
      <w:marBottom w:val="0"/>
      <w:divBdr>
        <w:top w:val="none" w:sz="0" w:space="0" w:color="auto"/>
        <w:left w:val="none" w:sz="0" w:space="0" w:color="auto"/>
        <w:bottom w:val="none" w:sz="0" w:space="0" w:color="auto"/>
        <w:right w:val="none" w:sz="0" w:space="0" w:color="auto"/>
      </w:divBdr>
    </w:div>
    <w:div w:id="1148473822">
      <w:bodyDiv w:val="1"/>
      <w:marLeft w:val="0"/>
      <w:marRight w:val="0"/>
      <w:marTop w:val="0"/>
      <w:marBottom w:val="0"/>
      <w:divBdr>
        <w:top w:val="none" w:sz="0" w:space="0" w:color="auto"/>
        <w:left w:val="none" w:sz="0" w:space="0" w:color="auto"/>
        <w:bottom w:val="none" w:sz="0" w:space="0" w:color="auto"/>
        <w:right w:val="none" w:sz="0" w:space="0" w:color="auto"/>
      </w:divBdr>
    </w:div>
    <w:div w:id="1173186229">
      <w:bodyDiv w:val="1"/>
      <w:marLeft w:val="0"/>
      <w:marRight w:val="0"/>
      <w:marTop w:val="0"/>
      <w:marBottom w:val="0"/>
      <w:divBdr>
        <w:top w:val="none" w:sz="0" w:space="0" w:color="auto"/>
        <w:left w:val="none" w:sz="0" w:space="0" w:color="auto"/>
        <w:bottom w:val="none" w:sz="0" w:space="0" w:color="auto"/>
        <w:right w:val="none" w:sz="0" w:space="0" w:color="auto"/>
      </w:divBdr>
    </w:div>
    <w:div w:id="1251892028">
      <w:bodyDiv w:val="1"/>
      <w:marLeft w:val="0"/>
      <w:marRight w:val="0"/>
      <w:marTop w:val="0"/>
      <w:marBottom w:val="0"/>
      <w:divBdr>
        <w:top w:val="none" w:sz="0" w:space="0" w:color="auto"/>
        <w:left w:val="none" w:sz="0" w:space="0" w:color="auto"/>
        <w:bottom w:val="none" w:sz="0" w:space="0" w:color="auto"/>
        <w:right w:val="none" w:sz="0" w:space="0" w:color="auto"/>
      </w:divBdr>
    </w:div>
    <w:div w:id="1514567086">
      <w:bodyDiv w:val="1"/>
      <w:marLeft w:val="0"/>
      <w:marRight w:val="0"/>
      <w:marTop w:val="0"/>
      <w:marBottom w:val="0"/>
      <w:divBdr>
        <w:top w:val="none" w:sz="0" w:space="0" w:color="auto"/>
        <w:left w:val="none" w:sz="0" w:space="0" w:color="auto"/>
        <w:bottom w:val="none" w:sz="0" w:space="0" w:color="auto"/>
        <w:right w:val="none" w:sz="0" w:space="0" w:color="auto"/>
      </w:divBdr>
    </w:div>
    <w:div w:id="1684240368">
      <w:bodyDiv w:val="1"/>
      <w:marLeft w:val="0"/>
      <w:marRight w:val="0"/>
      <w:marTop w:val="0"/>
      <w:marBottom w:val="0"/>
      <w:divBdr>
        <w:top w:val="none" w:sz="0" w:space="0" w:color="auto"/>
        <w:left w:val="none" w:sz="0" w:space="0" w:color="auto"/>
        <w:bottom w:val="none" w:sz="0" w:space="0" w:color="auto"/>
        <w:right w:val="none" w:sz="0" w:space="0" w:color="auto"/>
      </w:divBdr>
    </w:div>
    <w:div w:id="1827476066">
      <w:bodyDiv w:val="1"/>
      <w:marLeft w:val="0"/>
      <w:marRight w:val="0"/>
      <w:marTop w:val="0"/>
      <w:marBottom w:val="0"/>
      <w:divBdr>
        <w:top w:val="none" w:sz="0" w:space="0" w:color="auto"/>
        <w:left w:val="none" w:sz="0" w:space="0" w:color="auto"/>
        <w:bottom w:val="none" w:sz="0" w:space="0" w:color="auto"/>
        <w:right w:val="none" w:sz="0" w:space="0" w:color="auto"/>
      </w:divBdr>
    </w:div>
    <w:div w:id="2000839852">
      <w:bodyDiv w:val="1"/>
      <w:marLeft w:val="0"/>
      <w:marRight w:val="0"/>
      <w:marTop w:val="0"/>
      <w:marBottom w:val="0"/>
      <w:divBdr>
        <w:top w:val="none" w:sz="0" w:space="0" w:color="auto"/>
        <w:left w:val="none" w:sz="0" w:space="0" w:color="auto"/>
        <w:bottom w:val="none" w:sz="0" w:space="0" w:color="auto"/>
        <w:right w:val="none" w:sz="0" w:space="0" w:color="auto"/>
      </w:divBdr>
    </w:div>
    <w:div w:id="2014212211">
      <w:bodyDiv w:val="1"/>
      <w:marLeft w:val="0"/>
      <w:marRight w:val="0"/>
      <w:marTop w:val="0"/>
      <w:marBottom w:val="0"/>
      <w:divBdr>
        <w:top w:val="none" w:sz="0" w:space="0" w:color="auto"/>
        <w:left w:val="none" w:sz="0" w:space="0" w:color="auto"/>
        <w:bottom w:val="none" w:sz="0" w:space="0" w:color="auto"/>
        <w:right w:val="none" w:sz="0" w:space="0" w:color="auto"/>
      </w:divBdr>
    </w:div>
    <w:div w:id="2054228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1931">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edpb.europa.eu/sites/default/files/files/file1/edpb_recommendations_202002_europeanessentialguaranteessurveillance_en.pdf" TargetMode="External"/><Relationship Id="rId26" Type="http://schemas.openxmlformats.org/officeDocument/2006/relationships/hyperlink" Target="https://transparency.tahr.org.tw/TITR_Report_2015_en.pdf" TargetMode="External"/><Relationship Id="rId3" Type="http://schemas.openxmlformats.org/officeDocument/2006/relationships/customXml" Target="../customXml/item3.xml"/><Relationship Id="rId21" Type="http://schemas.openxmlformats.org/officeDocument/2006/relationships/hyperlink" Target="https://repository.law.uic.edu/cgi/viewcontent.cgi?article=1758&amp;context=jitp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aw.moj.gov.tw/ENG/LawClass/LawAll.aspx?pcode=K0060111" TargetMode="External"/><Relationship Id="rId25" Type="http://schemas.openxmlformats.org/officeDocument/2006/relationships/hyperlink" Target="https://www.leeandli.com/EN/NewslettersDetail/6496.htm" TargetMode="External"/><Relationship Id="rId2" Type="http://schemas.openxmlformats.org/officeDocument/2006/relationships/customXml" Target="../customXml/item2.xml"/><Relationship Id="rId16" Type="http://schemas.openxmlformats.org/officeDocument/2006/relationships/hyperlink" Target="https://law.moj.gov.tw/ENG/LawClass/LawAll.aspx?pcode=K0060001" TargetMode="External"/><Relationship Id="rId20" Type="http://schemas.openxmlformats.org/officeDocument/2006/relationships/hyperlink" Target="https://lovdata.no/dokument/NL/lov/1999-05-21-30/KAPITTEL_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n.wikipedia.org/wiki/Legislative_Yuan" TargetMode="External"/><Relationship Id="rId5" Type="http://schemas.openxmlformats.org/officeDocument/2006/relationships/customXml" Target="../customXml/item5.xml"/><Relationship Id="rId15" Type="http://schemas.openxmlformats.org/officeDocument/2006/relationships/hyperlink" Target="https://law.moj.gov.tw/Eng/LawClass/LawAll.aspx?PCode=I0050021" TargetMode="External"/><Relationship Id="rId23" Type="http://schemas.openxmlformats.org/officeDocument/2006/relationships/hyperlink" Target="https://globaltaiwan.org/2020/02/closing-loopholes-in-the-legal-framework-for-government-surveillance-in-taiwan/" TargetMode="External"/><Relationship Id="rId28" Type="http://schemas.openxmlformats.org/officeDocument/2006/relationships/hyperlink" Target="https://cdn.codegym.cc/images/article/3effcdd0-5b89-4574-b154-c2c1c65d945d/512.jpeg" TargetMode="External"/><Relationship Id="rId10" Type="http://schemas.openxmlformats.org/officeDocument/2006/relationships/footnotes" Target="footnotes.xml"/><Relationship Id="rId19" Type="http://schemas.openxmlformats.org/officeDocument/2006/relationships/hyperlink" Target="https://cons.judicial.gov.tw/en/docdata.aspx?fid=100&amp;id=3108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reedomhouse.org/country/taiwan/freedom-net/2021" TargetMode="External"/><Relationship Id="rId27" Type="http://schemas.openxmlformats.org/officeDocument/2006/relationships/hyperlink" Target="https://transparencyreport.google.com/user-data/overview?hl=en_US&amp;user_requests_report_period=series:requests,accounts;authority:TW;time:&amp;lu=legal_process_breakdown&amp;legal_process_breakdown=expanded:0"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leeandli.com/EN/NewslettersDetail/6496.htm" TargetMode="External"/><Relationship Id="rId13" Type="http://schemas.openxmlformats.org/officeDocument/2006/relationships/hyperlink" Target="https://www.edpb.europa.eu/sites/default/files/files/file1/edpb_recommendations_202002_europeanessentialguaranteessurveillance_en.pdf" TargetMode="External"/><Relationship Id="rId18" Type="http://schemas.openxmlformats.org/officeDocument/2006/relationships/hyperlink" Target="https://www.edpb.europa.eu/sites/default/files/files/file1/edpb_recommendations_202002_europeanessentialguaranteessurveillance_en.pdf" TargetMode="External"/><Relationship Id="rId3" Type="http://schemas.openxmlformats.org/officeDocument/2006/relationships/hyperlink" Target="https://law.moj.gov.tw/Eng/LawClass/LawAll.aspx?PCode=I0050021" TargetMode="External"/><Relationship Id="rId21" Type="http://schemas.openxmlformats.org/officeDocument/2006/relationships/hyperlink" Target="https://globaltaiwan.org/2020/02/closing-loopholes-in-the-legal-framework-for-government-surveillance-in-taiwan/" TargetMode="External"/><Relationship Id="rId7" Type="http://schemas.openxmlformats.org/officeDocument/2006/relationships/hyperlink" Target="https://www.dataguidance.com/notes/taiwan-data-protection-overview" TargetMode="External"/><Relationship Id="rId12" Type="http://schemas.openxmlformats.org/officeDocument/2006/relationships/hyperlink" Target="https://www.edpb.europa.eu/system/files/2021-06/edpb_recommendations_202001vo.2.0_supplementarymeasurestransferstools_en.pdf" TargetMode="External"/><Relationship Id="rId17" Type="http://schemas.openxmlformats.org/officeDocument/2006/relationships/hyperlink" Target="https://www.dataguidance.com/notes/taiwan-data-protection-overview" TargetMode="External"/><Relationship Id="rId2" Type="http://schemas.openxmlformats.org/officeDocument/2006/relationships/hyperlink" Target="https://transparency.tahr.org.tw/TITR_Report_2015_en.pdf" TargetMode="External"/><Relationship Id="rId16" Type="http://schemas.openxmlformats.org/officeDocument/2006/relationships/hyperlink" Target="https://en.wikipedia.org/wiki/Legislative_Yuan" TargetMode="External"/><Relationship Id="rId20" Type="http://schemas.openxmlformats.org/officeDocument/2006/relationships/hyperlink" Target="https://cons.judicial.gov.tw/en/docdata.aspx?fid=100&amp;id=310812" TargetMode="External"/><Relationship Id="rId1" Type="http://schemas.openxmlformats.org/officeDocument/2006/relationships/hyperlink" Target="https://www.dataguidance.com/" TargetMode="External"/><Relationship Id="rId6" Type="http://schemas.openxmlformats.org/officeDocument/2006/relationships/hyperlink" Target="https://www.dataguidance.com/notes/taiwan-data-protection-overview" TargetMode="External"/><Relationship Id="rId11" Type="http://schemas.openxmlformats.org/officeDocument/2006/relationships/hyperlink" Target="https://repository.law.uic.edu/cgi/viewcontent.cgi?article=1758&amp;context=jitpl" TargetMode="External"/><Relationship Id="rId24" Type="http://schemas.openxmlformats.org/officeDocument/2006/relationships/hyperlink" Target="https://transparencyreport.google.com/user-data/overview?hl=en_US&amp;user_requests_report_period=series:requests,accounts;authority:TW;time:&amp;lu=legal_process_breakdown&amp;legal_process_breakdown=expanded:0" TargetMode="External"/><Relationship Id="rId5" Type="http://schemas.openxmlformats.org/officeDocument/2006/relationships/hyperlink" Target="https://law.moj.gov.tw/Eng/LawClass/LawAll.aspx?PCode=I0050021" TargetMode="External"/><Relationship Id="rId15" Type="http://schemas.openxmlformats.org/officeDocument/2006/relationships/hyperlink" Target="https://www.edpb.europa.eu/sites/default/files/files/file1/edpb_recommendations_202002_europeanessentialguaranteessurveillance_en.pdf" TargetMode="External"/><Relationship Id="rId23" Type="http://schemas.openxmlformats.org/officeDocument/2006/relationships/hyperlink" Target="https://transparency.tahr.org.tw/TITR_Report_2015_en.pdf" TargetMode="External"/><Relationship Id="rId10" Type="http://schemas.openxmlformats.org/officeDocument/2006/relationships/hyperlink" Target="https://law.moj.gov.tw/ENG/LawClass/LawAll.aspx?pcode=K0060001" TargetMode="External"/><Relationship Id="rId19" Type="http://schemas.openxmlformats.org/officeDocument/2006/relationships/hyperlink" Target="https://www.dataguidance.com/notes/taiwan-data-protection-overview" TargetMode="External"/><Relationship Id="rId4" Type="http://schemas.openxmlformats.org/officeDocument/2006/relationships/hyperlink" Target="https://law.moj.gov.tw/Eng/LawClass/LawAll.aspx?PCode=I0050021" TargetMode="External"/><Relationship Id="rId9" Type="http://schemas.openxmlformats.org/officeDocument/2006/relationships/hyperlink" Target="https://freedomhouse.org/country/taiwan/freedom-net/2021" TargetMode="External"/><Relationship Id="rId14" Type="http://schemas.openxmlformats.org/officeDocument/2006/relationships/hyperlink" Target="https://www.edpb.europa.eu/sites/default/files/files/file1/edpb_recommendations_202002_europeanessentialguaranteessurveillance_en.pdf" TargetMode="External"/><Relationship Id="rId22" Type="http://schemas.openxmlformats.org/officeDocument/2006/relationships/hyperlink" Target="https://transparency.tahr.org.tw/TITR_Report_2015_e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4BCF37571DE1B4BA2BFAC0158A3BEC7" ma:contentTypeVersion="14" ma:contentTypeDescription="Opprett et nytt dokument." ma:contentTypeScope="" ma:versionID="274267270dac74b058d562feeba717f3">
  <xsd:schema xmlns:xsd="http://www.w3.org/2001/XMLSchema" xmlns:xs="http://www.w3.org/2001/XMLSchema" xmlns:p="http://schemas.microsoft.com/office/2006/metadata/properties" xmlns:ns2="1f63f2be-a376-4ac4-9c92-f9c00b2ba94a" xmlns:ns3="6d9e3cb1-1946-4501-850b-3c71ea179c69" targetNamespace="http://schemas.microsoft.com/office/2006/metadata/properties" ma:root="true" ma:fieldsID="cb557a081d9111410bab9861ef8b6f8f" ns2:_="" ns3:_="">
    <xsd:import namespace="1f63f2be-a376-4ac4-9c92-f9c00b2ba94a"/>
    <xsd:import namespace="6d9e3cb1-1946-4501-850b-3c71ea179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f2be-a376-4ac4-9c92-f9c00b2ba9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a5af897e-8ee3-44e6-a379-8efb93aa5b2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9e3cb1-1946-4501-850b-3c71ea179c6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f63f2be-a376-4ac4-9c92-f9c00b2ba9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D29C29-8326-4610-A20E-617540684835}">
  <ds:schemaRefs>
    <ds:schemaRef ds:uri="http://schemas.openxmlformats.org/officeDocument/2006/bibliography"/>
  </ds:schemaRefs>
</ds:datastoreItem>
</file>

<file path=customXml/itemProps3.xml><?xml version="1.0" encoding="utf-8"?>
<ds:datastoreItem xmlns:ds="http://schemas.openxmlformats.org/officeDocument/2006/customXml" ds:itemID="{E8834B63-54F6-40B4-B02E-593EEBC7F2B0}">
  <ds:schemaRefs>
    <ds:schemaRef ds:uri="http://schemas.microsoft.com/sharepoint/v3/contenttype/forms"/>
  </ds:schemaRefs>
</ds:datastoreItem>
</file>

<file path=customXml/itemProps4.xml><?xml version="1.0" encoding="utf-8"?>
<ds:datastoreItem xmlns:ds="http://schemas.openxmlformats.org/officeDocument/2006/customXml" ds:itemID="{7AAA5AEA-EAB7-4FE3-A8F3-35A053C5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3f2be-a376-4ac4-9c92-f9c00b2ba94a"/>
    <ds:schemaRef ds:uri="6d9e3cb1-1946-4501-850b-3c71ea17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D78308-5A67-4233-AFA8-AFC1842C3D87}">
  <ds:schemaRefs>
    <ds:schemaRef ds:uri="http://schemas.microsoft.com/office/2006/metadata/properties"/>
    <ds:schemaRef ds:uri="http://schemas.microsoft.com/office/infopath/2007/PartnerControls"/>
    <ds:schemaRef ds:uri="1f63f2be-a376-4ac4-9c92-f9c00b2ba94a"/>
  </ds:schemaRefs>
</ds:datastoreItem>
</file>

<file path=docMetadata/LabelInfo.xml><?xml version="1.0" encoding="utf-8"?>
<clbl:labelList xmlns:clbl="http://schemas.microsoft.com/office/2020/mipLabelMetadata">
  <clbl:label id="{d41caaa9-a41a-4e0f-9bf6-05cd1f48d271}" enabled="0" method="" siteId="{d41caaa9-a41a-4e0f-9bf6-05cd1f48d271}" removed="1"/>
</clbl:labelList>
</file>

<file path=docProps/app.xml><?xml version="1.0" encoding="utf-8"?>
<Properties xmlns="http://schemas.openxmlformats.org/officeDocument/2006/extended-properties" xmlns:vt="http://schemas.openxmlformats.org/officeDocument/2006/docPropsVTypes">
  <Template>Normal</Template>
  <TotalTime>86</TotalTime>
  <Pages>29</Pages>
  <Words>9925</Words>
  <Characters>52606</Characters>
  <Application>Microsoft Office Word</Application>
  <DocSecurity>0</DocSecurity>
  <Lines>438</Lines>
  <Paragraphs>124</Paragraphs>
  <ScaleCrop>false</ScaleCrop>
  <HeadingPairs>
    <vt:vector size="2" baseType="variant">
      <vt:variant>
        <vt:lpstr>Tittel</vt:lpstr>
      </vt:variant>
      <vt:variant>
        <vt:i4>1</vt:i4>
      </vt:variant>
    </vt:vector>
  </HeadingPairs>
  <TitlesOfParts>
    <vt:vector size="1" baseType="lpstr">
      <vt:lpstr>Rapport</vt:lpstr>
    </vt:vector>
  </TitlesOfParts>
  <Company/>
  <LinksUpToDate>false</LinksUpToDate>
  <CharactersWithSpaces>62407</CharactersWithSpaces>
  <SharedDoc>false</SharedDoc>
  <HLinks>
    <vt:vector size="324" baseType="variant">
      <vt:variant>
        <vt:i4>7995507</vt:i4>
      </vt:variant>
      <vt:variant>
        <vt:i4>162</vt:i4>
      </vt:variant>
      <vt:variant>
        <vt:i4>0</vt:i4>
      </vt:variant>
      <vt:variant>
        <vt:i4>5</vt:i4>
      </vt:variant>
      <vt:variant>
        <vt:lpwstr>https://cdn.codegym.cc/images/article/3effcdd0-5b89-4574-b154-c2c1c65d945d/512.jpeg</vt:lpwstr>
      </vt:variant>
      <vt:variant>
        <vt:lpwstr/>
      </vt:variant>
      <vt:variant>
        <vt:i4>4980746</vt:i4>
      </vt:variant>
      <vt:variant>
        <vt:i4>159</vt:i4>
      </vt:variant>
      <vt:variant>
        <vt:i4>0</vt:i4>
      </vt:variant>
      <vt:variant>
        <vt:i4>5</vt:i4>
      </vt:variant>
      <vt:variant>
        <vt:lpwstr>https://transparencyreport.google.com/user-data/overview?hl=en_US&amp;user_requests_report_period=series:requests,accounts;authority:TW;time:&amp;lu=legal_process_breakdown&amp;legal_process_breakdown=expanded:0</vt:lpwstr>
      </vt:variant>
      <vt:variant>
        <vt:lpwstr/>
      </vt:variant>
      <vt:variant>
        <vt:i4>262193</vt:i4>
      </vt:variant>
      <vt:variant>
        <vt:i4>156</vt:i4>
      </vt:variant>
      <vt:variant>
        <vt:i4>0</vt:i4>
      </vt:variant>
      <vt:variant>
        <vt:i4>5</vt:i4>
      </vt:variant>
      <vt:variant>
        <vt:lpwstr>https://transparency.tahr.org.tw/TITR_Report_2015_en.pdf</vt:lpwstr>
      </vt:variant>
      <vt:variant>
        <vt:lpwstr/>
      </vt:variant>
      <vt:variant>
        <vt:i4>2162785</vt:i4>
      </vt:variant>
      <vt:variant>
        <vt:i4>153</vt:i4>
      </vt:variant>
      <vt:variant>
        <vt:i4>0</vt:i4>
      </vt:variant>
      <vt:variant>
        <vt:i4>5</vt:i4>
      </vt:variant>
      <vt:variant>
        <vt:lpwstr>https://www.leeandli.com/EN/NewslettersDetail/6496.htm</vt:lpwstr>
      </vt:variant>
      <vt:variant>
        <vt:lpwstr/>
      </vt:variant>
      <vt:variant>
        <vt:i4>721017</vt:i4>
      </vt:variant>
      <vt:variant>
        <vt:i4>150</vt:i4>
      </vt:variant>
      <vt:variant>
        <vt:i4>0</vt:i4>
      </vt:variant>
      <vt:variant>
        <vt:i4>5</vt:i4>
      </vt:variant>
      <vt:variant>
        <vt:lpwstr>https://en.wikipedia.org/wiki/Legislative_Yuan</vt:lpwstr>
      </vt:variant>
      <vt:variant>
        <vt:lpwstr/>
      </vt:variant>
      <vt:variant>
        <vt:i4>5898315</vt:i4>
      </vt:variant>
      <vt:variant>
        <vt:i4>147</vt:i4>
      </vt:variant>
      <vt:variant>
        <vt:i4>0</vt:i4>
      </vt:variant>
      <vt:variant>
        <vt:i4>5</vt:i4>
      </vt:variant>
      <vt:variant>
        <vt:lpwstr>https://globaltaiwan.org/2020/02/closing-loopholes-in-the-legal-framework-for-government-surveillance-in-taiwan/</vt:lpwstr>
      </vt:variant>
      <vt:variant>
        <vt:lpwstr/>
      </vt:variant>
      <vt:variant>
        <vt:i4>5177361</vt:i4>
      </vt:variant>
      <vt:variant>
        <vt:i4>144</vt:i4>
      </vt:variant>
      <vt:variant>
        <vt:i4>0</vt:i4>
      </vt:variant>
      <vt:variant>
        <vt:i4>5</vt:i4>
      </vt:variant>
      <vt:variant>
        <vt:lpwstr>https://freedomhouse.org/country/taiwan/freedom-net/2021</vt:lpwstr>
      </vt:variant>
      <vt:variant>
        <vt:lpwstr/>
      </vt:variant>
      <vt:variant>
        <vt:i4>3276841</vt:i4>
      </vt:variant>
      <vt:variant>
        <vt:i4>141</vt:i4>
      </vt:variant>
      <vt:variant>
        <vt:i4>0</vt:i4>
      </vt:variant>
      <vt:variant>
        <vt:i4>5</vt:i4>
      </vt:variant>
      <vt:variant>
        <vt:lpwstr>https://www.dataguidance.com/notes/taiwan-data-protection-overview</vt:lpwstr>
      </vt:variant>
      <vt:variant>
        <vt:lpwstr/>
      </vt:variant>
      <vt:variant>
        <vt:i4>72</vt:i4>
      </vt:variant>
      <vt:variant>
        <vt:i4>138</vt:i4>
      </vt:variant>
      <vt:variant>
        <vt:i4>0</vt:i4>
      </vt:variant>
      <vt:variant>
        <vt:i4>5</vt:i4>
      </vt:variant>
      <vt:variant>
        <vt:lpwstr>https://repository.law.uic.edu/cgi/viewcontent.cgi?article=1758&amp;context=jitpl</vt:lpwstr>
      </vt:variant>
      <vt:variant>
        <vt:lpwstr/>
      </vt:variant>
      <vt:variant>
        <vt:i4>3276900</vt:i4>
      </vt:variant>
      <vt:variant>
        <vt:i4>135</vt:i4>
      </vt:variant>
      <vt:variant>
        <vt:i4>0</vt:i4>
      </vt:variant>
      <vt:variant>
        <vt:i4>5</vt:i4>
      </vt:variant>
      <vt:variant>
        <vt:lpwstr>https://lovdata.no/dokument/NL/lov/1999-05-21-30/KAPITTEL_2</vt:lpwstr>
      </vt:variant>
      <vt:variant>
        <vt:lpwstr>KAPITTEL_2</vt:lpwstr>
      </vt:variant>
      <vt:variant>
        <vt:i4>6619235</vt:i4>
      </vt:variant>
      <vt:variant>
        <vt:i4>132</vt:i4>
      </vt:variant>
      <vt:variant>
        <vt:i4>0</vt:i4>
      </vt:variant>
      <vt:variant>
        <vt:i4>5</vt:i4>
      </vt:variant>
      <vt:variant>
        <vt:lpwstr>https://cons.judicial.gov.tw/en/docdata.aspx?fid=100&amp;id=310812</vt:lpwstr>
      </vt:variant>
      <vt:variant>
        <vt:lpwstr/>
      </vt:variant>
      <vt:variant>
        <vt:i4>5242974</vt:i4>
      </vt:variant>
      <vt:variant>
        <vt:i4>129</vt:i4>
      </vt:variant>
      <vt:variant>
        <vt:i4>0</vt:i4>
      </vt:variant>
      <vt:variant>
        <vt:i4>5</vt:i4>
      </vt:variant>
      <vt:variant>
        <vt:lpwstr>https://www.edpb.europa.eu/sites/default/files/files/file1/edpb_recommendations_202002_europeanessentialguaranteessurveillance_en.pdf</vt:lpwstr>
      </vt:variant>
      <vt:variant>
        <vt:lpwstr/>
      </vt:variant>
      <vt:variant>
        <vt:i4>8257589</vt:i4>
      </vt:variant>
      <vt:variant>
        <vt:i4>126</vt:i4>
      </vt:variant>
      <vt:variant>
        <vt:i4>0</vt:i4>
      </vt:variant>
      <vt:variant>
        <vt:i4>5</vt:i4>
      </vt:variant>
      <vt:variant>
        <vt:lpwstr>https://law.moj.gov.tw/ENG/LawClass/LawAll.aspx?pcode=K0060111</vt:lpwstr>
      </vt:variant>
      <vt:variant>
        <vt:lpwstr/>
      </vt:variant>
      <vt:variant>
        <vt:i4>8323124</vt:i4>
      </vt:variant>
      <vt:variant>
        <vt:i4>123</vt:i4>
      </vt:variant>
      <vt:variant>
        <vt:i4>0</vt:i4>
      </vt:variant>
      <vt:variant>
        <vt:i4>5</vt:i4>
      </vt:variant>
      <vt:variant>
        <vt:lpwstr>https://law.moj.gov.tw/ENG/LawClass/LawAll.aspx?pcode=K0060001</vt:lpwstr>
      </vt:variant>
      <vt:variant>
        <vt:lpwstr/>
      </vt:variant>
      <vt:variant>
        <vt:i4>8126516</vt:i4>
      </vt:variant>
      <vt:variant>
        <vt:i4>120</vt:i4>
      </vt:variant>
      <vt:variant>
        <vt:i4>0</vt:i4>
      </vt:variant>
      <vt:variant>
        <vt:i4>5</vt:i4>
      </vt:variant>
      <vt:variant>
        <vt:lpwstr>https://law.moj.gov.tw/Eng/LawClass/LawAll.aspx?PCode=I0050021</vt:lpwstr>
      </vt:variant>
      <vt:variant>
        <vt:lpwstr/>
      </vt:variant>
      <vt:variant>
        <vt:i4>7995507</vt:i4>
      </vt:variant>
      <vt:variant>
        <vt:i4>117</vt:i4>
      </vt:variant>
      <vt:variant>
        <vt:i4>0</vt:i4>
      </vt:variant>
      <vt:variant>
        <vt:i4>5</vt:i4>
      </vt:variant>
      <vt:variant>
        <vt:lpwstr>https://cdn.codegym.cc/images/article/3effcdd0-5b89-4574-b154-c2c1c65d945d/512.jpeg</vt:lpwstr>
      </vt:variant>
      <vt:variant>
        <vt:lpwstr/>
      </vt:variant>
      <vt:variant>
        <vt:i4>1507379</vt:i4>
      </vt:variant>
      <vt:variant>
        <vt:i4>98</vt:i4>
      </vt:variant>
      <vt:variant>
        <vt:i4>0</vt:i4>
      </vt:variant>
      <vt:variant>
        <vt:i4>5</vt:i4>
      </vt:variant>
      <vt:variant>
        <vt:lpwstr/>
      </vt:variant>
      <vt:variant>
        <vt:lpwstr>_Toc166668283</vt:lpwstr>
      </vt:variant>
      <vt:variant>
        <vt:i4>1507379</vt:i4>
      </vt:variant>
      <vt:variant>
        <vt:i4>92</vt:i4>
      </vt:variant>
      <vt:variant>
        <vt:i4>0</vt:i4>
      </vt:variant>
      <vt:variant>
        <vt:i4>5</vt:i4>
      </vt:variant>
      <vt:variant>
        <vt:lpwstr/>
      </vt:variant>
      <vt:variant>
        <vt:lpwstr>_Toc166668282</vt:lpwstr>
      </vt:variant>
      <vt:variant>
        <vt:i4>1507379</vt:i4>
      </vt:variant>
      <vt:variant>
        <vt:i4>86</vt:i4>
      </vt:variant>
      <vt:variant>
        <vt:i4>0</vt:i4>
      </vt:variant>
      <vt:variant>
        <vt:i4>5</vt:i4>
      </vt:variant>
      <vt:variant>
        <vt:lpwstr/>
      </vt:variant>
      <vt:variant>
        <vt:lpwstr>_Toc166668281</vt:lpwstr>
      </vt:variant>
      <vt:variant>
        <vt:i4>1507379</vt:i4>
      </vt:variant>
      <vt:variant>
        <vt:i4>80</vt:i4>
      </vt:variant>
      <vt:variant>
        <vt:i4>0</vt:i4>
      </vt:variant>
      <vt:variant>
        <vt:i4>5</vt:i4>
      </vt:variant>
      <vt:variant>
        <vt:lpwstr/>
      </vt:variant>
      <vt:variant>
        <vt:lpwstr>_Toc166668280</vt:lpwstr>
      </vt:variant>
      <vt:variant>
        <vt:i4>1572915</vt:i4>
      </vt:variant>
      <vt:variant>
        <vt:i4>74</vt:i4>
      </vt:variant>
      <vt:variant>
        <vt:i4>0</vt:i4>
      </vt:variant>
      <vt:variant>
        <vt:i4>5</vt:i4>
      </vt:variant>
      <vt:variant>
        <vt:lpwstr/>
      </vt:variant>
      <vt:variant>
        <vt:lpwstr>_Toc166668279</vt:lpwstr>
      </vt:variant>
      <vt:variant>
        <vt:i4>1572915</vt:i4>
      </vt:variant>
      <vt:variant>
        <vt:i4>68</vt:i4>
      </vt:variant>
      <vt:variant>
        <vt:i4>0</vt:i4>
      </vt:variant>
      <vt:variant>
        <vt:i4>5</vt:i4>
      </vt:variant>
      <vt:variant>
        <vt:lpwstr/>
      </vt:variant>
      <vt:variant>
        <vt:lpwstr>_Toc166668278</vt:lpwstr>
      </vt:variant>
      <vt:variant>
        <vt:i4>1572915</vt:i4>
      </vt:variant>
      <vt:variant>
        <vt:i4>62</vt:i4>
      </vt:variant>
      <vt:variant>
        <vt:i4>0</vt:i4>
      </vt:variant>
      <vt:variant>
        <vt:i4>5</vt:i4>
      </vt:variant>
      <vt:variant>
        <vt:lpwstr/>
      </vt:variant>
      <vt:variant>
        <vt:lpwstr>_Toc166668277</vt:lpwstr>
      </vt:variant>
      <vt:variant>
        <vt:i4>1572915</vt:i4>
      </vt:variant>
      <vt:variant>
        <vt:i4>56</vt:i4>
      </vt:variant>
      <vt:variant>
        <vt:i4>0</vt:i4>
      </vt:variant>
      <vt:variant>
        <vt:i4>5</vt:i4>
      </vt:variant>
      <vt:variant>
        <vt:lpwstr/>
      </vt:variant>
      <vt:variant>
        <vt:lpwstr>_Toc166668276</vt:lpwstr>
      </vt:variant>
      <vt:variant>
        <vt:i4>1572915</vt:i4>
      </vt:variant>
      <vt:variant>
        <vt:i4>50</vt:i4>
      </vt:variant>
      <vt:variant>
        <vt:i4>0</vt:i4>
      </vt:variant>
      <vt:variant>
        <vt:i4>5</vt:i4>
      </vt:variant>
      <vt:variant>
        <vt:lpwstr/>
      </vt:variant>
      <vt:variant>
        <vt:lpwstr>_Toc166668275</vt:lpwstr>
      </vt:variant>
      <vt:variant>
        <vt:i4>1572915</vt:i4>
      </vt:variant>
      <vt:variant>
        <vt:i4>44</vt:i4>
      </vt:variant>
      <vt:variant>
        <vt:i4>0</vt:i4>
      </vt:variant>
      <vt:variant>
        <vt:i4>5</vt:i4>
      </vt:variant>
      <vt:variant>
        <vt:lpwstr/>
      </vt:variant>
      <vt:variant>
        <vt:lpwstr>_Toc166668274</vt:lpwstr>
      </vt:variant>
      <vt:variant>
        <vt:i4>1572915</vt:i4>
      </vt:variant>
      <vt:variant>
        <vt:i4>38</vt:i4>
      </vt:variant>
      <vt:variant>
        <vt:i4>0</vt:i4>
      </vt:variant>
      <vt:variant>
        <vt:i4>5</vt:i4>
      </vt:variant>
      <vt:variant>
        <vt:lpwstr/>
      </vt:variant>
      <vt:variant>
        <vt:lpwstr>_Toc166668273</vt:lpwstr>
      </vt:variant>
      <vt:variant>
        <vt:i4>1572915</vt:i4>
      </vt:variant>
      <vt:variant>
        <vt:i4>32</vt:i4>
      </vt:variant>
      <vt:variant>
        <vt:i4>0</vt:i4>
      </vt:variant>
      <vt:variant>
        <vt:i4>5</vt:i4>
      </vt:variant>
      <vt:variant>
        <vt:lpwstr/>
      </vt:variant>
      <vt:variant>
        <vt:lpwstr>_Toc166668272</vt:lpwstr>
      </vt:variant>
      <vt:variant>
        <vt:i4>1572915</vt:i4>
      </vt:variant>
      <vt:variant>
        <vt:i4>26</vt:i4>
      </vt:variant>
      <vt:variant>
        <vt:i4>0</vt:i4>
      </vt:variant>
      <vt:variant>
        <vt:i4>5</vt:i4>
      </vt:variant>
      <vt:variant>
        <vt:lpwstr/>
      </vt:variant>
      <vt:variant>
        <vt:lpwstr>_Toc166668271</vt:lpwstr>
      </vt:variant>
      <vt:variant>
        <vt:i4>1572915</vt:i4>
      </vt:variant>
      <vt:variant>
        <vt:i4>20</vt:i4>
      </vt:variant>
      <vt:variant>
        <vt:i4>0</vt:i4>
      </vt:variant>
      <vt:variant>
        <vt:i4>5</vt:i4>
      </vt:variant>
      <vt:variant>
        <vt:lpwstr/>
      </vt:variant>
      <vt:variant>
        <vt:lpwstr>_Toc166668270</vt:lpwstr>
      </vt:variant>
      <vt:variant>
        <vt:i4>1638451</vt:i4>
      </vt:variant>
      <vt:variant>
        <vt:i4>14</vt:i4>
      </vt:variant>
      <vt:variant>
        <vt:i4>0</vt:i4>
      </vt:variant>
      <vt:variant>
        <vt:i4>5</vt:i4>
      </vt:variant>
      <vt:variant>
        <vt:lpwstr/>
      </vt:variant>
      <vt:variant>
        <vt:lpwstr>_Toc166668269</vt:lpwstr>
      </vt:variant>
      <vt:variant>
        <vt:i4>1638451</vt:i4>
      </vt:variant>
      <vt:variant>
        <vt:i4>8</vt:i4>
      </vt:variant>
      <vt:variant>
        <vt:i4>0</vt:i4>
      </vt:variant>
      <vt:variant>
        <vt:i4>5</vt:i4>
      </vt:variant>
      <vt:variant>
        <vt:lpwstr/>
      </vt:variant>
      <vt:variant>
        <vt:lpwstr>_Toc166668268</vt:lpwstr>
      </vt:variant>
      <vt:variant>
        <vt:i4>1638451</vt:i4>
      </vt:variant>
      <vt:variant>
        <vt:i4>2</vt:i4>
      </vt:variant>
      <vt:variant>
        <vt:i4>0</vt:i4>
      </vt:variant>
      <vt:variant>
        <vt:i4>5</vt:i4>
      </vt:variant>
      <vt:variant>
        <vt:lpwstr/>
      </vt:variant>
      <vt:variant>
        <vt:lpwstr>_Toc166668267</vt:lpwstr>
      </vt:variant>
      <vt:variant>
        <vt:i4>4980746</vt:i4>
      </vt:variant>
      <vt:variant>
        <vt:i4>60</vt:i4>
      </vt:variant>
      <vt:variant>
        <vt:i4>0</vt:i4>
      </vt:variant>
      <vt:variant>
        <vt:i4>5</vt:i4>
      </vt:variant>
      <vt:variant>
        <vt:lpwstr>https://transparencyreport.google.com/user-data/overview?hl=en_US&amp;user_requests_report_period=series:requests,accounts;authority:TW;time:&amp;lu=legal_process_breakdown&amp;legal_process_breakdown=expanded:0</vt:lpwstr>
      </vt:variant>
      <vt:variant>
        <vt:lpwstr/>
      </vt:variant>
      <vt:variant>
        <vt:i4>262193</vt:i4>
      </vt:variant>
      <vt:variant>
        <vt:i4>57</vt:i4>
      </vt:variant>
      <vt:variant>
        <vt:i4>0</vt:i4>
      </vt:variant>
      <vt:variant>
        <vt:i4>5</vt:i4>
      </vt:variant>
      <vt:variant>
        <vt:lpwstr>https://transparency.tahr.org.tw/TITR_Report_2015_en.pdf</vt:lpwstr>
      </vt:variant>
      <vt:variant>
        <vt:lpwstr/>
      </vt:variant>
      <vt:variant>
        <vt:i4>5898315</vt:i4>
      </vt:variant>
      <vt:variant>
        <vt:i4>54</vt:i4>
      </vt:variant>
      <vt:variant>
        <vt:i4>0</vt:i4>
      </vt:variant>
      <vt:variant>
        <vt:i4>5</vt:i4>
      </vt:variant>
      <vt:variant>
        <vt:lpwstr>https://globaltaiwan.org/2020/02/closing-loopholes-in-the-legal-framework-for-government-surveillance-in-taiwan/</vt:lpwstr>
      </vt:variant>
      <vt:variant>
        <vt:lpwstr/>
      </vt:variant>
      <vt:variant>
        <vt:i4>6619235</vt:i4>
      </vt:variant>
      <vt:variant>
        <vt:i4>51</vt:i4>
      </vt:variant>
      <vt:variant>
        <vt:i4>0</vt:i4>
      </vt:variant>
      <vt:variant>
        <vt:i4>5</vt:i4>
      </vt:variant>
      <vt:variant>
        <vt:lpwstr>https://cons.judicial.gov.tw/en/docdata.aspx?fid=100&amp;id=310812</vt:lpwstr>
      </vt:variant>
      <vt:variant>
        <vt:lpwstr/>
      </vt:variant>
      <vt:variant>
        <vt:i4>3276841</vt:i4>
      </vt:variant>
      <vt:variant>
        <vt:i4>48</vt:i4>
      </vt:variant>
      <vt:variant>
        <vt:i4>0</vt:i4>
      </vt:variant>
      <vt:variant>
        <vt:i4>5</vt:i4>
      </vt:variant>
      <vt:variant>
        <vt:lpwstr>https://www.dataguidance.com/notes/taiwan-data-protection-overview</vt:lpwstr>
      </vt:variant>
      <vt:variant>
        <vt:lpwstr/>
      </vt:variant>
      <vt:variant>
        <vt:i4>5242974</vt:i4>
      </vt:variant>
      <vt:variant>
        <vt:i4>45</vt:i4>
      </vt:variant>
      <vt:variant>
        <vt:i4>0</vt:i4>
      </vt:variant>
      <vt:variant>
        <vt:i4>5</vt:i4>
      </vt:variant>
      <vt:variant>
        <vt:lpwstr>https://www.edpb.europa.eu/sites/default/files/files/file1/edpb_recommendations_202002_europeanessentialguaranteessurveillance_en.pdf</vt:lpwstr>
      </vt:variant>
      <vt:variant>
        <vt:lpwstr/>
      </vt:variant>
      <vt:variant>
        <vt:i4>3276841</vt:i4>
      </vt:variant>
      <vt:variant>
        <vt:i4>42</vt:i4>
      </vt:variant>
      <vt:variant>
        <vt:i4>0</vt:i4>
      </vt:variant>
      <vt:variant>
        <vt:i4>5</vt:i4>
      </vt:variant>
      <vt:variant>
        <vt:lpwstr>https://www.dataguidance.com/notes/taiwan-data-protection-overview</vt:lpwstr>
      </vt:variant>
      <vt:variant>
        <vt:lpwstr/>
      </vt:variant>
      <vt:variant>
        <vt:i4>721017</vt:i4>
      </vt:variant>
      <vt:variant>
        <vt:i4>39</vt:i4>
      </vt:variant>
      <vt:variant>
        <vt:i4>0</vt:i4>
      </vt:variant>
      <vt:variant>
        <vt:i4>5</vt:i4>
      </vt:variant>
      <vt:variant>
        <vt:lpwstr>https://en.wikipedia.org/wiki/Legislative_Yuan</vt:lpwstr>
      </vt:variant>
      <vt:variant>
        <vt:lpwstr/>
      </vt:variant>
      <vt:variant>
        <vt:i4>5242974</vt:i4>
      </vt:variant>
      <vt:variant>
        <vt:i4>36</vt:i4>
      </vt:variant>
      <vt:variant>
        <vt:i4>0</vt:i4>
      </vt:variant>
      <vt:variant>
        <vt:i4>5</vt:i4>
      </vt:variant>
      <vt:variant>
        <vt:lpwstr>https://www.edpb.europa.eu/sites/default/files/files/file1/edpb_recommendations_202002_europeanessentialguaranteessurveillance_en.pdf</vt:lpwstr>
      </vt:variant>
      <vt:variant>
        <vt:lpwstr/>
      </vt:variant>
      <vt:variant>
        <vt:i4>7995507</vt:i4>
      </vt:variant>
      <vt:variant>
        <vt:i4>33</vt:i4>
      </vt:variant>
      <vt:variant>
        <vt:i4>0</vt:i4>
      </vt:variant>
      <vt:variant>
        <vt:i4>5</vt:i4>
      </vt:variant>
      <vt:variant>
        <vt:lpwstr>https://cdn.codegym.cc/images/article/3effcdd0-5b89-4574-b154-c2c1c65d945d/512.jpeg</vt:lpwstr>
      </vt:variant>
      <vt:variant>
        <vt:lpwstr/>
      </vt:variant>
      <vt:variant>
        <vt:i4>5242974</vt:i4>
      </vt:variant>
      <vt:variant>
        <vt:i4>30</vt:i4>
      </vt:variant>
      <vt:variant>
        <vt:i4>0</vt:i4>
      </vt:variant>
      <vt:variant>
        <vt:i4>5</vt:i4>
      </vt:variant>
      <vt:variant>
        <vt:lpwstr>https://www.edpb.europa.eu/sites/default/files/files/file1/edpb_recommendations_202002_europeanessentialguaranteessurveillance_en.pdf</vt:lpwstr>
      </vt:variant>
      <vt:variant>
        <vt:lpwstr/>
      </vt:variant>
      <vt:variant>
        <vt:i4>4456514</vt:i4>
      </vt:variant>
      <vt:variant>
        <vt:i4>27</vt:i4>
      </vt:variant>
      <vt:variant>
        <vt:i4>0</vt:i4>
      </vt:variant>
      <vt:variant>
        <vt:i4>5</vt:i4>
      </vt:variant>
      <vt:variant>
        <vt:lpwstr>https://www.edpb.europa.eu/system/files/2021-06/edpb_recommendations_202001vo.2.0_supplementarymeasurestransferstools_en.pdf</vt:lpwstr>
      </vt:variant>
      <vt:variant>
        <vt:lpwstr/>
      </vt:variant>
      <vt:variant>
        <vt:i4>72</vt:i4>
      </vt:variant>
      <vt:variant>
        <vt:i4>24</vt:i4>
      </vt:variant>
      <vt:variant>
        <vt:i4>0</vt:i4>
      </vt:variant>
      <vt:variant>
        <vt:i4>5</vt:i4>
      </vt:variant>
      <vt:variant>
        <vt:lpwstr>https://repository.law.uic.edu/cgi/viewcontent.cgi?article=1758&amp;context=jitpl</vt:lpwstr>
      </vt:variant>
      <vt:variant>
        <vt:lpwstr/>
      </vt:variant>
      <vt:variant>
        <vt:i4>8323124</vt:i4>
      </vt:variant>
      <vt:variant>
        <vt:i4>21</vt:i4>
      </vt:variant>
      <vt:variant>
        <vt:i4>0</vt:i4>
      </vt:variant>
      <vt:variant>
        <vt:i4>5</vt:i4>
      </vt:variant>
      <vt:variant>
        <vt:lpwstr>https://law.moj.gov.tw/ENG/LawClass/LawAll.aspx?pcode=K0060001</vt:lpwstr>
      </vt:variant>
      <vt:variant>
        <vt:lpwstr/>
      </vt:variant>
      <vt:variant>
        <vt:i4>5177361</vt:i4>
      </vt:variant>
      <vt:variant>
        <vt:i4>18</vt:i4>
      </vt:variant>
      <vt:variant>
        <vt:i4>0</vt:i4>
      </vt:variant>
      <vt:variant>
        <vt:i4>5</vt:i4>
      </vt:variant>
      <vt:variant>
        <vt:lpwstr>https://freedomhouse.org/country/taiwan/freedom-net/2021</vt:lpwstr>
      </vt:variant>
      <vt:variant>
        <vt:lpwstr/>
      </vt:variant>
      <vt:variant>
        <vt:i4>2162785</vt:i4>
      </vt:variant>
      <vt:variant>
        <vt:i4>15</vt:i4>
      </vt:variant>
      <vt:variant>
        <vt:i4>0</vt:i4>
      </vt:variant>
      <vt:variant>
        <vt:i4>5</vt:i4>
      </vt:variant>
      <vt:variant>
        <vt:lpwstr>https://www.leeandli.com/EN/NewslettersDetail/6496.htm</vt:lpwstr>
      </vt:variant>
      <vt:variant>
        <vt:lpwstr/>
      </vt:variant>
      <vt:variant>
        <vt:i4>3276841</vt:i4>
      </vt:variant>
      <vt:variant>
        <vt:i4>12</vt:i4>
      </vt:variant>
      <vt:variant>
        <vt:i4>0</vt:i4>
      </vt:variant>
      <vt:variant>
        <vt:i4>5</vt:i4>
      </vt:variant>
      <vt:variant>
        <vt:lpwstr>https://www.dataguidance.com/notes/taiwan-data-protection-overview</vt:lpwstr>
      </vt:variant>
      <vt:variant>
        <vt:lpwstr/>
      </vt:variant>
      <vt:variant>
        <vt:i4>3276841</vt:i4>
      </vt:variant>
      <vt:variant>
        <vt:i4>9</vt:i4>
      </vt:variant>
      <vt:variant>
        <vt:i4>0</vt:i4>
      </vt:variant>
      <vt:variant>
        <vt:i4>5</vt:i4>
      </vt:variant>
      <vt:variant>
        <vt:lpwstr>https://www.dataguidance.com/notes/taiwan-data-protection-overview</vt:lpwstr>
      </vt:variant>
      <vt:variant>
        <vt:lpwstr/>
      </vt:variant>
      <vt:variant>
        <vt:i4>8126516</vt:i4>
      </vt:variant>
      <vt:variant>
        <vt:i4>6</vt:i4>
      </vt:variant>
      <vt:variant>
        <vt:i4>0</vt:i4>
      </vt:variant>
      <vt:variant>
        <vt:i4>5</vt:i4>
      </vt:variant>
      <vt:variant>
        <vt:lpwstr>https://law.moj.gov.tw/Eng/LawClass/LawAll.aspx?PCode=I0050021</vt:lpwstr>
      </vt:variant>
      <vt:variant>
        <vt:lpwstr/>
      </vt:variant>
      <vt:variant>
        <vt:i4>7929967</vt:i4>
      </vt:variant>
      <vt:variant>
        <vt:i4>3</vt:i4>
      </vt:variant>
      <vt:variant>
        <vt:i4>0</vt:i4>
      </vt:variant>
      <vt:variant>
        <vt:i4>5</vt:i4>
      </vt:variant>
      <vt:variant>
        <vt:lpwstr>https://www.dataguidance.com/notes/taiwan-third-country-assessment</vt:lpwstr>
      </vt:variant>
      <vt:variant>
        <vt:lpwstr/>
      </vt:variant>
      <vt:variant>
        <vt:i4>8126516</vt:i4>
      </vt:variant>
      <vt:variant>
        <vt:i4>0</vt:i4>
      </vt:variant>
      <vt:variant>
        <vt:i4>0</vt:i4>
      </vt:variant>
      <vt:variant>
        <vt:i4>5</vt:i4>
      </vt:variant>
      <vt:variant>
        <vt:lpwstr>https://law.moj.gov.tw/Eng/LawClass/LawAll.aspx?PCode=I0050021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dc:title>
  <dc:subject/>
  <dc:creator>Ola Høyer</dc:creator>
  <cp:keywords/>
  <dc:description/>
  <cp:lastModifiedBy>Ida Thorsrud</cp:lastModifiedBy>
  <cp:revision>74</cp:revision>
  <dcterms:created xsi:type="dcterms:W3CDTF">2024-09-05T07:45:00Z</dcterms:created>
  <dcterms:modified xsi:type="dcterms:W3CDTF">2024-09-05T09:23:00Z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0x01010004BCF37571DE1B4BA2BFAC0158A3BEC7</vt:lpwstr>
  </property>
  <property fmtid="{D5CDD505-2E9C-101B-9397-08002B2CF9AE}" pid="3" name="WorkSiteClientNumber">
    <vt:lpwstr>37249</vt:lpwstr>
  </property>
  <property fmtid="{D5CDD505-2E9C-101B-9397-08002B2CF9AE}" pid="4" name="WorkSiteDatabase">
    <vt:lpwstr>LEGAL</vt:lpwstr>
  </property>
  <property fmtid="{D5CDD505-2E9C-101B-9397-08002B2CF9AE}" pid="5" name="WorkSiteDescription">
    <vt:lpwstr>240604 Siste utkast rapport Taiwan (Uten kommentarer) 1_innspill Kvale</vt:lpwstr>
  </property>
  <property fmtid="{D5CDD505-2E9C-101B-9397-08002B2CF9AE}" pid="6" name="WorkSiteDocNumber">
    <vt:lpwstr>3708666</vt:lpwstr>
  </property>
  <property fmtid="{D5CDD505-2E9C-101B-9397-08002B2CF9AE}" pid="7" name="WorksiteDocVersion">
    <vt:lpwstr>1</vt:lpwstr>
  </property>
  <property fmtid="{D5CDD505-2E9C-101B-9397-08002B2CF9AE}" pid="8" name="WorkSiteAuthor">
    <vt:lpwstr>JCG</vt:lpwstr>
  </property>
  <property fmtid="{D5CDD505-2E9C-101B-9397-08002B2CF9AE}" pid="9" name="WorkSiteMatterNumber">
    <vt:lpwstr>37249-512</vt:lpwstr>
  </property>
  <property fmtid="{D5CDD505-2E9C-101B-9397-08002B2CF9AE}" pid="10" name="MediaServiceImageTags">
    <vt:lpwstr/>
  </property>
</Properties>
</file>