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34723748"/>
        <w:docPartObj>
          <w:docPartGallery w:val="Cover Pages"/>
          <w:docPartUnique/>
        </w:docPartObj>
      </w:sdtPr>
      <w:sdtEndPr/>
      <w:sdtContent>
        <w:p w14:paraId="0FDDE488" w14:textId="08782762" w:rsidR="00F4449A" w:rsidRDefault="00EC6576" w:rsidP="00EC6576">
          <w:pPr>
            <w:tabs>
              <w:tab w:val="left" w:pos="6698"/>
            </w:tabs>
          </w:pPr>
          <w:r>
            <w:tab/>
          </w:r>
        </w:p>
        <w:p w14:paraId="4E94F0C0" w14:textId="323CBA76" w:rsidR="00FD6229" w:rsidRDefault="00AB65A5" w:rsidP="00AE1CFA">
          <w:r>
            <w:rPr>
              <w:noProof/>
              <w:lang w:eastAsia="nb-NO"/>
            </w:rPr>
            <w:drawing>
              <wp:anchor distT="0" distB="0" distL="114300" distR="114300" simplePos="0" relativeHeight="251680768" behindDoc="0" locked="0" layoutInCell="1" allowOverlap="1" wp14:anchorId="1C91F3BE" wp14:editId="1650852B">
                <wp:simplePos x="0" y="0"/>
                <wp:positionH relativeFrom="column">
                  <wp:posOffset>-610870</wp:posOffset>
                </wp:positionH>
                <wp:positionV relativeFrom="page">
                  <wp:posOffset>3704063</wp:posOffset>
                </wp:positionV>
                <wp:extent cx="6926580" cy="5790457"/>
                <wp:effectExtent l="0" t="0" r="7620" b="127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ON-dummybilde.png"/>
                        <pic:cNvPicPr/>
                      </pic:nvPicPr>
                      <pic:blipFill>
                        <a:blip r:embed="rId11">
                          <a:extLst>
                            <a:ext uri="{28A0092B-C50C-407E-A947-70E740481C1C}">
                              <a14:useLocalDpi xmlns:a14="http://schemas.microsoft.com/office/drawing/2010/main" val="0"/>
                            </a:ext>
                          </a:extLst>
                        </a:blip>
                        <a:stretch>
                          <a:fillRect/>
                        </a:stretch>
                      </pic:blipFill>
                      <pic:spPr>
                        <a:xfrm>
                          <a:off x="0" y="0"/>
                          <a:ext cx="6934074" cy="5796722"/>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677696" behindDoc="0" locked="0" layoutInCell="1" allowOverlap="1" wp14:anchorId="57657F96" wp14:editId="70D8297E">
                    <wp:simplePos x="0" y="0"/>
                    <wp:positionH relativeFrom="column">
                      <wp:posOffset>-435610</wp:posOffset>
                    </wp:positionH>
                    <wp:positionV relativeFrom="page">
                      <wp:posOffset>1866900</wp:posOffset>
                    </wp:positionV>
                    <wp:extent cx="6924040" cy="2819400"/>
                    <wp:effectExtent l="0" t="0" r="10160" b="0"/>
                    <wp:wrapNone/>
                    <wp:docPr id="4" name="Tekstboks 4"/>
                    <wp:cNvGraphicFramePr/>
                    <a:graphic xmlns:a="http://schemas.openxmlformats.org/drawingml/2006/main">
                      <a:graphicData uri="http://schemas.microsoft.com/office/word/2010/wordprocessingShape">
                        <wps:wsp>
                          <wps:cNvSpPr txBox="1"/>
                          <wps:spPr>
                            <a:xfrm>
                              <a:off x="0" y="0"/>
                              <a:ext cx="6924040" cy="2819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D29CB3" w14:textId="77FE9EC1" w:rsidR="00BB2CD8" w:rsidRDefault="00BB2CD8" w:rsidP="00AB65A5">
                                <w:pPr>
                                  <w:pStyle w:val="M-Cover2"/>
                                  <w:spacing w:line="276" w:lineRule="auto"/>
                                </w:pPr>
                                <w:r>
                                  <w:t xml:space="preserve">Innovasjon i offentlig sektor og </w:t>
                                </w:r>
                              </w:p>
                              <w:p w14:paraId="2446963A" w14:textId="5CFA56C3" w:rsidR="00BB2CD8" w:rsidRDefault="00A40C37" w:rsidP="00AB65A5">
                                <w:pPr>
                                  <w:pStyle w:val="M-Cover2"/>
                                  <w:spacing w:line="276" w:lineRule="auto"/>
                                </w:pPr>
                                <w:r>
                                  <w:t>samfunnsøkonomisk lønnsomhet</w:t>
                                </w:r>
                                <w:bookmarkStart w:id="0" w:name="_GoBack"/>
                                <w:bookmarkEnd w:id="0"/>
                              </w:p>
                              <w:p w14:paraId="46160341" w14:textId="633285DF" w:rsidR="00BB2CD8" w:rsidRPr="00AB65A5" w:rsidRDefault="00BB2CD8" w:rsidP="00AB65A5">
                                <w:pPr>
                                  <w:pStyle w:val="M-Cover2"/>
                                  <w:spacing w:line="276" w:lineRule="auto"/>
                                  <w:rPr>
                                    <w:sz w:val="22"/>
                                  </w:rPr>
                                </w:pPr>
                                <w:r w:rsidRPr="00AB65A5">
                                  <w:rPr>
                                    <w:sz w:val="36"/>
                                  </w:rPr>
                                  <w:t>En guide, utvalgte eksempler og en kartlegging av effektstudier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57F96" id="_x0000_t202" coordsize="21600,21600" o:spt="202" path="m,l,21600r21600,l21600,xe">
                    <v:stroke joinstyle="miter"/>
                    <v:path gradientshapeok="t" o:connecttype="rect"/>
                  </v:shapetype>
                  <v:shape id="Tekstboks 4" o:spid="_x0000_s1026" type="#_x0000_t202" style="position:absolute;left:0;text-align:left;margin-left:-34.3pt;margin-top:147pt;width:545.2pt;height:2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" filled="f" stroked="f">
                    <v:textbox inset="0,0,0,0">
                      <w:txbxContent>
                        <w:p w14:paraId="1FD29CB3" w14:textId="77FE9EC1" w:rsidR="00BB2CD8" w:rsidRDefault="00BB2CD8" w:rsidP="00AB65A5">
                          <w:pPr>
                            <w:pStyle w:val="M-Cover2"/>
                            <w:spacing w:line="276" w:lineRule="auto"/>
                          </w:pPr>
                          <w:r>
                            <w:t xml:space="preserve">Innovasjon i offentlig sektor og </w:t>
                          </w:r>
                        </w:p>
                        <w:p w14:paraId="2446963A" w14:textId="5CFA56C3" w:rsidR="00BB2CD8" w:rsidRDefault="00A40C37" w:rsidP="00AB65A5">
                          <w:pPr>
                            <w:pStyle w:val="M-Cover2"/>
                            <w:spacing w:line="276" w:lineRule="auto"/>
                          </w:pPr>
                          <w:r>
                            <w:t>samfunnsøkonomisk lønnsomhet</w:t>
                          </w:r>
                          <w:bookmarkStart w:id="1" w:name="_GoBack"/>
                          <w:bookmarkEnd w:id="1"/>
                        </w:p>
                        <w:p w14:paraId="46160341" w14:textId="633285DF" w:rsidR="00BB2CD8" w:rsidRPr="00AB65A5" w:rsidRDefault="00BB2CD8" w:rsidP="00AB65A5">
                          <w:pPr>
                            <w:pStyle w:val="M-Cover2"/>
                            <w:spacing w:line="276" w:lineRule="auto"/>
                            <w:rPr>
                              <w:sz w:val="22"/>
                            </w:rPr>
                          </w:pPr>
                          <w:r w:rsidRPr="00AB65A5">
                            <w:rPr>
                              <w:sz w:val="36"/>
                            </w:rPr>
                            <w:t>En guide, utvalgte eksempler og en kartlegging av effektstudier</w:t>
                          </w:r>
                        </w:p>
                      </w:txbxContent>
                    </v:textbox>
                    <w10:wrap anchory="page"/>
                  </v:shape>
                </w:pict>
              </mc:Fallback>
            </mc:AlternateContent>
          </w:r>
          <w:r w:rsidR="004E5781">
            <w:rPr>
              <w:noProof/>
              <w:lang w:eastAsia="nb-NO"/>
            </w:rPr>
            <mc:AlternateContent>
              <mc:Choice Requires="wps">
                <w:drawing>
                  <wp:anchor distT="0" distB="0" distL="114300" distR="114300" simplePos="0" relativeHeight="251679744" behindDoc="0" locked="0" layoutInCell="1" allowOverlap="1" wp14:anchorId="146786F9" wp14:editId="17A482EB">
                    <wp:simplePos x="0" y="0"/>
                    <wp:positionH relativeFrom="column">
                      <wp:posOffset>-481330</wp:posOffset>
                    </wp:positionH>
                    <wp:positionV relativeFrom="page">
                      <wp:posOffset>9734550</wp:posOffset>
                    </wp:positionV>
                    <wp:extent cx="5377815" cy="565150"/>
                    <wp:effectExtent l="0" t="0" r="6985" b="19050"/>
                    <wp:wrapNone/>
                    <wp:docPr id="9" name="Tekstboks 9"/>
                    <wp:cNvGraphicFramePr/>
                    <a:graphic xmlns:a="http://schemas.openxmlformats.org/drawingml/2006/main">
                      <a:graphicData uri="http://schemas.microsoft.com/office/word/2010/wordprocessingShape">
                        <wps:wsp>
                          <wps:cNvSpPr txBox="1"/>
                          <wps:spPr>
                            <a:xfrm>
                              <a:off x="0" y="0"/>
                              <a:ext cx="5377815" cy="565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53ECD5" w14:textId="3A48E6C7" w:rsidR="00BB2CD8" w:rsidRDefault="00BB2CD8" w:rsidP="00317EB3">
                                <w:pPr>
                                  <w:pStyle w:val="M-Cover2"/>
                                  <w:spacing w:line="260" w:lineRule="exact"/>
                                  <w:rPr>
                                    <w:b/>
                                    <w:bCs/>
                                    <w:sz w:val="28"/>
                                    <w:szCs w:val="28"/>
                                  </w:rPr>
                                </w:pPr>
                                <w:r w:rsidRPr="00AB4A6F">
                                  <w:rPr>
                                    <w:b/>
                                    <w:bCs/>
                                    <w:sz w:val="28"/>
                                    <w:szCs w:val="28"/>
                                  </w:rPr>
                                  <w:t>Menon publikasjon nr</w:t>
                                </w:r>
                                <w:r>
                                  <w:rPr>
                                    <w:b/>
                                    <w:bCs/>
                                    <w:sz w:val="28"/>
                                    <w:szCs w:val="28"/>
                                  </w:rPr>
                                  <w:t>.</w:t>
                                </w:r>
                                <w:r w:rsidRPr="00AB4A6F">
                                  <w:rPr>
                                    <w:b/>
                                    <w:bCs/>
                                    <w:sz w:val="28"/>
                                    <w:szCs w:val="28"/>
                                  </w:rPr>
                                  <w:t xml:space="preserve"> 72/2016</w:t>
                                </w:r>
                              </w:p>
                              <w:p w14:paraId="19CA2D8C" w14:textId="0F9D6B31" w:rsidR="00BB2CD8" w:rsidRDefault="00BB2CD8" w:rsidP="00317EB3">
                                <w:pPr>
                                  <w:pStyle w:val="M-Cover2"/>
                                  <w:spacing w:line="260" w:lineRule="exact"/>
                                  <w:rPr>
                                    <w:b/>
                                    <w:bCs/>
                                    <w:sz w:val="28"/>
                                    <w:szCs w:val="28"/>
                                  </w:rPr>
                                </w:pPr>
                              </w:p>
                              <w:p w14:paraId="2525F8E4" w14:textId="0BF67E8A" w:rsidR="00BB2CD8" w:rsidRPr="00CB259C" w:rsidRDefault="00BB2CD8" w:rsidP="004E01E8">
                                <w:pPr>
                                  <w:rPr>
                                    <w:color w:val="FFFFFF" w:themeColor="background1"/>
                                    <w:lang w:val="nn-NO"/>
                                  </w:rPr>
                                </w:pPr>
                                <w:r>
                                  <w:t>Av Leo A. Grünfeld, Markus Bugge (Nifu), Torbjørn Bull Jensen, Per Botolf Maurseth (BI), Erland Skogli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786F9" id="Tekstboks 9" o:spid="_x0000_s1027" type="#_x0000_t202" style="position:absolute;left:0;text-align:left;margin-left:-37.9pt;margin-top:766.5pt;width:423.45pt;height: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" filled="f" stroked="f">
                    <v:textbox inset="0,0,0,0">
                      <w:txbxContent>
                        <w:p w14:paraId="6C53ECD5" w14:textId="3A48E6C7" w:rsidR="00BB2CD8" w:rsidRDefault="00BB2CD8" w:rsidP="00317EB3">
                          <w:pPr>
                            <w:pStyle w:val="M-Cover2"/>
                            <w:spacing w:line="260" w:lineRule="exact"/>
                            <w:rPr>
                              <w:b/>
                              <w:bCs/>
                              <w:sz w:val="28"/>
                              <w:szCs w:val="28"/>
                            </w:rPr>
                          </w:pPr>
                          <w:r w:rsidRPr="00AB4A6F">
                            <w:rPr>
                              <w:b/>
                              <w:bCs/>
                              <w:sz w:val="28"/>
                              <w:szCs w:val="28"/>
                            </w:rPr>
                            <w:t>Menon publikasjon nr</w:t>
                          </w:r>
                          <w:r>
                            <w:rPr>
                              <w:b/>
                              <w:bCs/>
                              <w:sz w:val="28"/>
                              <w:szCs w:val="28"/>
                            </w:rPr>
                            <w:t>.</w:t>
                          </w:r>
                          <w:r w:rsidRPr="00AB4A6F">
                            <w:rPr>
                              <w:b/>
                              <w:bCs/>
                              <w:sz w:val="28"/>
                              <w:szCs w:val="28"/>
                            </w:rPr>
                            <w:t xml:space="preserve"> 72/2016</w:t>
                          </w:r>
                        </w:p>
                        <w:p w14:paraId="19CA2D8C" w14:textId="0F9D6B31" w:rsidR="00BB2CD8" w:rsidRDefault="00BB2CD8" w:rsidP="00317EB3">
                          <w:pPr>
                            <w:pStyle w:val="M-Cover2"/>
                            <w:spacing w:line="260" w:lineRule="exact"/>
                            <w:rPr>
                              <w:b/>
                              <w:bCs/>
                              <w:sz w:val="28"/>
                              <w:szCs w:val="28"/>
                            </w:rPr>
                          </w:pPr>
                        </w:p>
                        <w:p w14:paraId="2525F8E4" w14:textId="0BF67E8A" w:rsidR="00BB2CD8" w:rsidRPr="00CB259C" w:rsidRDefault="00BB2CD8" w:rsidP="004E01E8">
                          <w:pPr>
                            <w:rPr>
                              <w:color w:val="FFFFFF" w:themeColor="background1"/>
                              <w:lang w:val="nn-NO"/>
                            </w:rPr>
                          </w:pPr>
                          <w:r>
                            <w:t>Av Leo A. Grünfeld, Markus Bugge (Nifu), Torbjørn Bull Jensen, Per Botolf Maurseth (BI), Erland Skogli</w:t>
                          </w:r>
                        </w:p>
                      </w:txbxContent>
                    </v:textbox>
                    <w10:wrap anchory="page"/>
                  </v:shape>
                </w:pict>
              </mc:Fallback>
            </mc:AlternateContent>
          </w:r>
          <w:r w:rsidR="00F4449A">
            <w:br w:type="page"/>
          </w:r>
        </w:p>
      </w:sdtContent>
    </w:sdt>
    <w:p w14:paraId="2A39CE6C" w14:textId="60759CDB" w:rsidR="00AB65A5" w:rsidRPr="00CE61E8" w:rsidRDefault="00AB65A5" w:rsidP="00CE61E8">
      <w:pPr>
        <w:pStyle w:val="Overskrift1"/>
        <w:numPr>
          <w:ilvl w:val="0"/>
          <w:numId w:val="0"/>
        </w:numPr>
      </w:pPr>
      <w:bookmarkStart w:id="2" w:name="_Toc471893122"/>
      <w:r>
        <w:lastRenderedPageBreak/>
        <w:t>Sammendrag</w:t>
      </w:r>
      <w:bookmarkEnd w:id="2"/>
    </w:p>
    <w:p w14:paraId="5599261C" w14:textId="6B7970F8" w:rsidR="007E4F21" w:rsidRPr="00626A29" w:rsidRDefault="007E4F21" w:rsidP="007E4F21">
      <w:pPr>
        <w:rPr>
          <w:b/>
        </w:rPr>
      </w:pPr>
      <w:r>
        <w:rPr>
          <w:b/>
        </w:rPr>
        <w:t>Om innovasjon i offentlig sektor og samfunnsøkonomisk lønnsomhet</w:t>
      </w:r>
    </w:p>
    <w:p w14:paraId="6F57E77F" w14:textId="19E5BD7C" w:rsidR="007E4F21" w:rsidRDefault="007E4F21" w:rsidP="007E4F21">
      <w:r>
        <w:t xml:space="preserve">Denne rapporten handler om hvordan man kan verdsette innovasjon i offentlig sektor, fra et samfunnsøkonomisk lønnsomhetsperspektiv. Rapporten består av 3 deler pluss en enkel guide for de som ønsker å vurdere den samfunnsøkonomiske lønnsomheten i et innovasjonsprosjekt i offentlig sektor. </w:t>
      </w:r>
      <w:r w:rsidRPr="00CD79CB">
        <w:rPr>
          <w:b/>
        </w:rPr>
        <w:t>Del 1</w:t>
      </w:r>
      <w:r>
        <w:t xml:space="preserve"> handler om hva innovasjon i offentlig sektor er, hvor mye det innoveres og hvordan innovasjon skaper samfunnsøkonomiske verdier. Denne delen er i all hovedsak konseptuell. </w:t>
      </w:r>
      <w:r w:rsidRPr="00CD79CB">
        <w:rPr>
          <w:b/>
        </w:rPr>
        <w:t>Del 2</w:t>
      </w:r>
      <w:r>
        <w:t xml:space="preserve"> presenterer et rammeverk for samfunnsøkonomiske analyser av innovasjonsprosjekter i offentlig sektor. Denne delen presenterer det faglige grunnlaget bak guiden. I tillegg inneholder denne delen også en presentasjon av praktiske case der vi anvender rammeverket får å vise hvordan det fungerer. </w:t>
      </w:r>
      <w:r w:rsidRPr="00CD79CB">
        <w:rPr>
          <w:b/>
        </w:rPr>
        <w:t>Del 3</w:t>
      </w:r>
      <w:r>
        <w:rPr>
          <w:b/>
        </w:rPr>
        <w:t xml:space="preserve"> </w:t>
      </w:r>
      <w:r>
        <w:t>inneholder en relativt kortfattet gjennomgang av forskningslitteratur som fokuserer på effekten av innovasjonsarbeid i offentlig sektor. Vi fokuserer på studier på både landnivå og sektornivå. I dette kapittelet presenterer vi også to helt nye empiriske analyser av effekter av innovasjon. Dette har vært nødvendig for å fylle ut et tomrom i den eksisterende litteraturen. Sist men ikke minst inneholder del 3 en vurdering av politikkanbefalinger basert på studien.</w:t>
      </w:r>
    </w:p>
    <w:p w14:paraId="06B0BFE8" w14:textId="3369EA7A" w:rsidR="00AB65A5" w:rsidRPr="00757A13" w:rsidRDefault="00AB65A5" w:rsidP="00AB65A5">
      <w:pPr>
        <w:rPr>
          <w:b/>
        </w:rPr>
      </w:pPr>
      <w:r>
        <w:rPr>
          <w:b/>
        </w:rPr>
        <w:t>Mer i</w:t>
      </w:r>
      <w:r w:rsidRPr="00757A13">
        <w:rPr>
          <w:b/>
        </w:rPr>
        <w:t xml:space="preserve">nnovasjon i offentlig sektor </w:t>
      </w:r>
      <w:r>
        <w:rPr>
          <w:b/>
        </w:rPr>
        <w:t xml:space="preserve">vil nesten alltid lønne seg </w:t>
      </w:r>
    </w:p>
    <w:p w14:paraId="45BEE360" w14:textId="69278409" w:rsidR="00AB65A5" w:rsidRDefault="00AB65A5" w:rsidP="00AB65A5">
      <w:r>
        <w:t xml:space="preserve">Er det mangel på innovasjon i offentlig sektor i Norge? I denne rapporten vurderer vi dette spørsmålet fra et samfunnsøkonomisk perspektiv, og det raske svaret er </w:t>
      </w:r>
      <w:r w:rsidRPr="00AB4A6F">
        <w:rPr>
          <w:b/>
          <w:u w:val="single"/>
        </w:rPr>
        <w:t>ja</w:t>
      </w:r>
      <w:r>
        <w:t>. Det som finnes av relevante kartlegginger og studier peker mot dette svaret. I denne studien presenteres en ny empirisk analyse basert på europeiske data for innovasjon i offentlig sektor hentet inn gjennom Innobarometer 2010. Analysen bekrefter at satsing på innovasjon skaper markant høyere tilfredshet hos brukerne av offentlige tjenester.</w:t>
      </w:r>
    </w:p>
    <w:p w14:paraId="4725A747" w14:textId="77777777" w:rsidR="00AB65A5" w:rsidRDefault="00AB65A5" w:rsidP="00AB65A5">
      <w:r>
        <w:t xml:space="preserve">Mange tar for gitt at innovasjon og nyskaping er et gode for samfunnet, men innovasjon har også en kostnadsside, og langt fra alt innovasjonsarbeid fører frem til mål. Å sette av ressurser til innovasjon i ulike deler av offentlig sektor er bare lønnsomt dersom ressursene kaster mer av seg gjennom innovasjon enn gjennom alternativ bruk. Det lengre svaret på spørsmålet er derfor </w:t>
      </w:r>
      <w:r w:rsidRPr="00AB4A6F">
        <w:rPr>
          <w:b/>
          <w:u w:val="single"/>
        </w:rPr>
        <w:t>ja</w:t>
      </w:r>
      <w:r w:rsidRPr="00AB4A6F">
        <w:rPr>
          <w:u w:val="single"/>
        </w:rPr>
        <w:t xml:space="preserve">, </w:t>
      </w:r>
      <w:r w:rsidRPr="00AB4A6F">
        <w:rPr>
          <w:b/>
          <w:u w:val="single"/>
        </w:rPr>
        <w:t>men</w:t>
      </w:r>
      <w:r>
        <w:t xml:space="preserve"> bare dersom hver enkelt aktør i offentlig sektor vurderer hvor lønnsomt eller bærekraftig dette arbeidet blir for samfunnet.</w:t>
      </w:r>
    </w:p>
    <w:p w14:paraId="0A8F1AA0" w14:textId="77777777" w:rsidR="00AB65A5" w:rsidRDefault="00AB65A5" w:rsidP="00AB65A5">
      <w:r>
        <w:t xml:space="preserve">I litteraturen pekes det på at det utføres mye innovasjonsaktivitet i offentlig sektor i nordiske land, men at mye av denne aktiviteten er inkrementell og forsiktig. Litteraturen fremhever også at det er en manglende systematikk og profesjonalitet rundt innovasjon i offentlig sektor. </w:t>
      </w:r>
    </w:p>
    <w:p w14:paraId="2EFD18B5" w14:textId="77777777" w:rsidR="00AB65A5" w:rsidRPr="00757A13" w:rsidRDefault="00AB65A5" w:rsidP="00AB65A5">
      <w:pPr>
        <w:rPr>
          <w:b/>
        </w:rPr>
      </w:pPr>
      <w:r w:rsidRPr="00757A13">
        <w:rPr>
          <w:b/>
        </w:rPr>
        <w:t>En guide for å finne lønnsomme prosjekter</w:t>
      </w:r>
      <w:r>
        <w:rPr>
          <w:b/>
        </w:rPr>
        <w:t xml:space="preserve"> i offentlig sektor</w:t>
      </w:r>
    </w:p>
    <w:p w14:paraId="3EA9B484" w14:textId="24B2DEC5" w:rsidR="00AB65A5" w:rsidRDefault="00AB65A5" w:rsidP="00AB65A5">
      <w:r>
        <w:t xml:space="preserve">For å bistå offentlig sektor i slike vurderinger inneholder denne rapporten en guide for samfunnsøkonomisk verdsetting av innovative tiltak, der usikkerhet er en viktig faktor. Guiden er basert på det rammeverket som staten anbefaler i samfunnsøkonomiske lønnsomhetsanalyser, men den utvider rammeverket slik at det egner seg bedre til å vurdere innovasjonsprosjekter i offentlig sektor. Guiden passer også rett inn som en integrert del av </w:t>
      </w:r>
      <w:r w:rsidR="007E5B75">
        <w:t>KS</w:t>
      </w:r>
      <w:r>
        <w:t xml:space="preserve"> sitt veikart for tjenesteinnovasjon. </w:t>
      </w:r>
    </w:p>
    <w:p w14:paraId="0F7F00DA" w14:textId="77777777" w:rsidR="00AB65A5" w:rsidRPr="00757A13" w:rsidRDefault="00AB65A5" w:rsidP="00AB65A5">
      <w:pPr>
        <w:rPr>
          <w:b/>
        </w:rPr>
      </w:pPr>
      <w:r w:rsidRPr="00757A13">
        <w:rPr>
          <w:b/>
        </w:rPr>
        <w:t>Innovasjon</w:t>
      </w:r>
      <w:r>
        <w:rPr>
          <w:b/>
        </w:rPr>
        <w:t xml:space="preserve"> i offentlig sektor</w:t>
      </w:r>
      <w:r w:rsidRPr="00757A13">
        <w:rPr>
          <w:b/>
        </w:rPr>
        <w:t>: Mer enn «best practice»</w:t>
      </w:r>
    </w:p>
    <w:p w14:paraId="165056F5" w14:textId="74070BA5" w:rsidR="00AB65A5" w:rsidRDefault="00AB65A5" w:rsidP="00AB65A5">
      <w:r>
        <w:t xml:space="preserve">I Produktivitetskommisjonens første rapport (2015) er det satt av over 100 sider til drøfting av effektivisering og produktivitet i offentlig sektor (Kapittel 15-18). I all hovedsak fokuserer rapporten på hvordan man kan øke produktiviteten ved </w:t>
      </w:r>
      <w:r w:rsidR="007E5B75">
        <w:t xml:space="preserve">at flere tar i bruk de beste </w:t>
      </w:r>
      <w:r>
        <w:t xml:space="preserve">metodene </w:t>
      </w:r>
      <w:r w:rsidR="007E5B75">
        <w:t xml:space="preserve">man kjenner til </w:t>
      </w:r>
      <w:r>
        <w:t xml:space="preserve">(best practice). Dette handler derfor </w:t>
      </w:r>
      <w:r>
        <w:lastRenderedPageBreak/>
        <w:t xml:space="preserve">om spredning av løsninger og omtales gjerne som gevinster gjennom imitasjon. Det foreligger en lang rekke utredninger som påviser gevinstpotensialet gjennom imitasjon i offentlig sektor, men disse omhandler bare i begrenset grad innovasjon. </w:t>
      </w:r>
    </w:p>
    <w:p w14:paraId="2324AB7B" w14:textId="77777777" w:rsidR="00AB65A5" w:rsidRDefault="00AB65A5" w:rsidP="00AB65A5">
      <w:r>
        <w:t>«Innovasjon i offentlig sektor» defineres i denne rapporten som:</w:t>
      </w:r>
    </w:p>
    <w:p w14:paraId="50D3432F" w14:textId="77777777" w:rsidR="00AB65A5" w:rsidRDefault="00AB65A5" w:rsidP="00AB65A5">
      <w:pPr>
        <w:rPr>
          <w:i/>
          <w:iCs/>
        </w:rPr>
      </w:pPr>
      <w:r>
        <w:t xml:space="preserve"> </w:t>
      </w:r>
      <w:r w:rsidRPr="000A41C3">
        <w:rPr>
          <w:i/>
          <w:iCs/>
        </w:rPr>
        <w:t xml:space="preserve">«En ny tjeneste, en ny produksjonsprosess, anvendelse eller organisasjonsform som </w:t>
      </w:r>
      <w:r w:rsidRPr="000E46D2">
        <w:rPr>
          <w:i/>
          <w:iCs/>
        </w:rPr>
        <w:t>utvikles i offentlig sektor eller tas i bruk av en offentlig aktør for første gang</w:t>
      </w:r>
      <w:r w:rsidRPr="000A41C3">
        <w:rPr>
          <w:i/>
          <w:iCs/>
        </w:rPr>
        <w:t xml:space="preserve">» </w:t>
      </w:r>
    </w:p>
    <w:p w14:paraId="53C53013" w14:textId="77777777" w:rsidR="00AB65A5" w:rsidRDefault="00AB65A5" w:rsidP="00AB65A5">
      <w:r w:rsidRPr="000E46D2">
        <w:rPr>
          <w:iCs/>
        </w:rPr>
        <w:t xml:space="preserve">Imitasjon dekker bare den delen </w:t>
      </w:r>
      <w:r>
        <w:rPr>
          <w:iCs/>
        </w:rPr>
        <w:t xml:space="preserve">av innovasjonsbegrepet som handler om å </w:t>
      </w:r>
      <w:r w:rsidRPr="000E46D2">
        <w:rPr>
          <w:iCs/>
        </w:rPr>
        <w:t>t</w:t>
      </w:r>
      <w:r>
        <w:rPr>
          <w:iCs/>
        </w:rPr>
        <w:t>a</w:t>
      </w:r>
      <w:r w:rsidRPr="000E46D2">
        <w:rPr>
          <w:iCs/>
        </w:rPr>
        <w:t xml:space="preserve"> </w:t>
      </w:r>
      <w:r>
        <w:rPr>
          <w:iCs/>
        </w:rPr>
        <w:t xml:space="preserve">noe </w:t>
      </w:r>
      <w:r w:rsidRPr="000E46D2">
        <w:rPr>
          <w:iCs/>
        </w:rPr>
        <w:t>i bruk for første gang, ikke det som handler om utvikling</w:t>
      </w:r>
      <w:r>
        <w:rPr>
          <w:iCs/>
        </w:rPr>
        <w:t xml:space="preserve"> av noe nytt.</w:t>
      </w:r>
      <w:r>
        <w:t xml:space="preserve"> Når kommisjonen en sjelden gang omtaler innovasjon i offentlig sektor knyttes dette nærmest utelukkende til innovative offentlige anskaffelser og mangel på insentiver til innovasjon i offentlig sektor. Produktivitetskommisjonen tar dermed ikke tak i offentlig sektors egen innovasjonsevne som kilde til produktivitetsvekst og økt velferd i det norske samfunnet. </w:t>
      </w:r>
    </w:p>
    <w:p w14:paraId="4ED2261D" w14:textId="5E49ABFE" w:rsidR="00AB65A5" w:rsidRPr="007E5B75" w:rsidRDefault="00AB65A5" w:rsidP="00AB65A5">
      <w:r>
        <w:t>Hva er egentlig forskjellen mellom et innovasjonsprosjekt og et vanlig investeringsprosjekt i det offentlige? Hensikten med å innovere er å skape større samfunnsmessige verdier på sikt. Det innebærer at man forventer høyere avkastning eller bærekraft på investeringer i innovasjonsprosjekter enn i andre prosjekter, enten gjennom å redusere kostnader eller gjennom å øke nytten. Ettersom innovasjonsprosjekter baserer seg på metoder og teknologier som er mer eller mindre ukjente, vil slike prosjekter ha høyere risiko enn et vanlig investeringsprosjekt. G</w:t>
      </w:r>
      <w:r w:rsidR="007E5B75">
        <w:t>uiden i denne rapporten</w:t>
      </w:r>
      <w:r>
        <w:t xml:space="preserve"> diskutere</w:t>
      </w:r>
      <w:r w:rsidR="007E5B75">
        <w:t>r også</w:t>
      </w:r>
      <w:r>
        <w:t xml:space="preserve"> strategier for å legitimere og håndtere en slik nødvendig grad av risiko. </w:t>
      </w:r>
    </w:p>
    <w:p w14:paraId="6F0CFEE0" w14:textId="77777777" w:rsidR="00AB65A5" w:rsidRPr="00757A13" w:rsidRDefault="00AB65A5" w:rsidP="00AB65A5">
      <w:pPr>
        <w:rPr>
          <w:b/>
        </w:rPr>
      </w:pPr>
      <w:r w:rsidRPr="00757A13">
        <w:rPr>
          <w:b/>
        </w:rPr>
        <w:t>Innovasjonsarbeid skaper lærende organisasjoner</w:t>
      </w:r>
    </w:p>
    <w:p w14:paraId="609AB722" w14:textId="5A48E888" w:rsidR="00AB65A5" w:rsidRDefault="00AB65A5" w:rsidP="00AB65A5">
      <w:r>
        <w:t xml:space="preserve">Innovasjon i offentlig sektor dekker et bredt spekter av aktiviteter: Fra små endringer i hvordan man organiserer daglige arbeidsrutiner i en kommunal omsorgsinstitusjon til introduksjon av nye store datasystemer for håndtering av skatteinformasjon i stat og kommune. Det finner sted innovasjon i alle deler av offentlig sektor, men omfanget og intensiteten varierer enormt, fra prosjekter med neglisjerbare </w:t>
      </w:r>
      <w:r w:rsidR="007E5B75">
        <w:t>kostnader</w:t>
      </w:r>
      <w:r>
        <w:t xml:space="preserve"> og en varighet på noen dager, til store reformer med milliard-budsjetter som går over flere år. Er prosjektet lite</w:t>
      </w:r>
      <w:r w:rsidR="007E5B75">
        <w:t>,</w:t>
      </w:r>
      <w:r>
        <w:t xml:space="preserve"> bør man begrense arbeidet med å vurdere samfunnsøkonomisk lønnsomhet. Er det stort, bør det gjennomføres en full samfunnsøkonomiske lønnsomhetsanalyse.</w:t>
      </w:r>
    </w:p>
    <w:p w14:paraId="2A707296" w14:textId="7AF16C93" w:rsidR="00AB65A5" w:rsidRDefault="00AB65A5" w:rsidP="00AB65A5">
      <w:r>
        <w:t xml:space="preserve">Det er viktig å stille </w:t>
      </w:r>
      <w:r w:rsidRPr="00F6031F">
        <w:rPr>
          <w:b/>
        </w:rPr>
        <w:t>lave</w:t>
      </w:r>
      <w:r>
        <w:t xml:space="preserve"> krav til vurdering av lønnsomhet i </w:t>
      </w:r>
      <w:r w:rsidRPr="00F6031F">
        <w:rPr>
          <w:b/>
        </w:rPr>
        <w:t>små innovasjonsprosjekter</w:t>
      </w:r>
      <w:r>
        <w:t xml:space="preserve"> fordi innovasjonsarbeid i seg selv skaper lærende organisasjoner. Forskning om innovasjon og læring i økonomien fremhever i økende grad organisasjoners evne til å absorbere og tilpasse seg ny kunnskap og nye løsninger. En rekke studier av produktivitetsvekst og konkurranseevne viser at de som driver aktivt med FoU og innovasjon selv også lærer mer av andre. Det er derfor grunn til å forvente at innovasjonsarbeid, uavhengig av egen lønnsomhet, øker evnen til å følge «best practice». Kommunene og staten bør derfor bidra til å sikre en viss innovasjonsaktivitet hos de fleste offentlige aktører, gjennom aksept, tillit og handlingsrom for eksperimentering; gjennom finansi</w:t>
      </w:r>
      <w:r w:rsidR="007E5B75">
        <w:t>ell støtte til slike prosjekter,</w:t>
      </w:r>
      <w:r>
        <w:t xml:space="preserve"> eller gjennom målstyring.  </w:t>
      </w:r>
    </w:p>
    <w:p w14:paraId="36E8B929" w14:textId="77777777" w:rsidR="00AB65A5" w:rsidRPr="009A192C" w:rsidRDefault="00AB65A5" w:rsidP="00AB65A5">
      <w:r w:rsidRPr="00757A13">
        <w:rPr>
          <w:b/>
        </w:rPr>
        <w:t>Samfunnsøkonomi: Mer enn kommune</w:t>
      </w:r>
      <w:r>
        <w:rPr>
          <w:b/>
        </w:rPr>
        <w:t xml:space="preserve">- og </w:t>
      </w:r>
      <w:r w:rsidRPr="00757A13">
        <w:rPr>
          <w:b/>
        </w:rPr>
        <w:t>etat</w:t>
      </w:r>
      <w:r>
        <w:rPr>
          <w:b/>
        </w:rPr>
        <w:t>søkonomi</w:t>
      </w:r>
    </w:p>
    <w:p w14:paraId="19143D7A" w14:textId="77777777" w:rsidR="00AB65A5" w:rsidRDefault="00AB65A5" w:rsidP="00AB65A5">
      <w:r>
        <w:t xml:space="preserve">En vurdering av den samfunnsøkonomiske lønnsomheten i et prosjekt skal ta høyde for den økte nytten som skapes for organisasjonen og dens brukere/kunder. I tillegg skal analysen ta hensyn til den økte nytten som skapes for andre aktører i samfunnet gjennom læring og indirekte påvirkning. Det er dette samfunnsøkonomer kaller eksternaliteter. Dette er et viktig element som ofte glemmes når offentlige aktører setter i gang nye </w:t>
      </w:r>
      <w:r>
        <w:lastRenderedPageBreak/>
        <w:t xml:space="preserve">prosjekter. Rapporten påpeker behovet for at slike eksternaliteter i langt større grad enn i dag blir drøftet og forsøkt verdsatt før prosjektet igangsettes. </w:t>
      </w:r>
    </w:p>
    <w:p w14:paraId="38873428" w14:textId="77777777" w:rsidR="00AB65A5" w:rsidRPr="00F6031F" w:rsidRDefault="00AB65A5" w:rsidP="00AB65A5">
      <w:pPr>
        <w:rPr>
          <w:b/>
        </w:rPr>
      </w:pPr>
      <w:r w:rsidRPr="00F6031F">
        <w:rPr>
          <w:b/>
        </w:rPr>
        <w:t>Det er fullt mulig å verdsette innovasjonsrisiko</w:t>
      </w:r>
    </w:p>
    <w:p w14:paraId="35E8BD45" w14:textId="77777777" w:rsidR="00AB65A5" w:rsidRDefault="00AB65A5" w:rsidP="00AB65A5">
      <w:r>
        <w:t xml:space="preserve">Den kanskje viktigste innsikten fra denne rapporten er at det er fullt mulig å verdsette innovasjonsrisiko i samfunnsøkonomiske termer, også når offentlig sektor selv innoverer. Med en tydeligere verdsetting av slik risiko vil samfunnsøkonomer lettere kunne legitimere innovasjon i offentlig sektor som kilde til økt samfunnsøkonomisk lønnsomhet. </w:t>
      </w:r>
    </w:p>
    <w:p w14:paraId="3CB1D8A2" w14:textId="77777777" w:rsidR="00AB65A5" w:rsidRDefault="00AB65A5" w:rsidP="00AB65A5">
      <w:r>
        <w:t>Vårt rammeverk for verdsetting tar utgangspunkt i 8 egenskaper ved et innovasjonsprosjekt som i stor grad styrer hvor stor innovasjonsrisikoen er, samt hvor sårbar prosjekteieren er for risiko. Vi ser på følgende egenskaper:</w:t>
      </w:r>
    </w:p>
    <w:p w14:paraId="0DD08D28" w14:textId="77777777" w:rsidR="00AB65A5" w:rsidRDefault="00AB65A5" w:rsidP="00CA2640">
      <w:pPr>
        <w:pStyle w:val="Listeavsnitt"/>
        <w:numPr>
          <w:ilvl w:val="0"/>
          <w:numId w:val="40"/>
        </w:numPr>
      </w:pPr>
      <w:r>
        <w:t>Prosjektets størrelse sett opp mot den offentlige aktørens budsjettramme</w:t>
      </w:r>
    </w:p>
    <w:p w14:paraId="14C3E3E4" w14:textId="77777777" w:rsidR="00AB65A5" w:rsidRDefault="00AB65A5" w:rsidP="00CA2640">
      <w:pPr>
        <w:pStyle w:val="Listeavsnitt"/>
        <w:numPr>
          <w:ilvl w:val="0"/>
          <w:numId w:val="40"/>
        </w:numPr>
      </w:pPr>
      <w:r>
        <w:t>Prosjektets fleksibilitet i form av hvor lett det er å stanse prosjektet på veien</w:t>
      </w:r>
    </w:p>
    <w:p w14:paraId="3A0A69AF" w14:textId="77777777" w:rsidR="00AB65A5" w:rsidRDefault="00AB65A5" w:rsidP="00CA2640">
      <w:pPr>
        <w:pStyle w:val="Listeavsnitt"/>
        <w:numPr>
          <w:ilvl w:val="0"/>
          <w:numId w:val="40"/>
        </w:numPr>
      </w:pPr>
      <w:r>
        <w:t>Prosjektets reverserbarhet, som forteller i hvilken grad man kan gå tilbake til gammel løsning ved behov</w:t>
      </w:r>
    </w:p>
    <w:p w14:paraId="3C853FD5" w14:textId="77777777" w:rsidR="00AB65A5" w:rsidRDefault="00AB65A5" w:rsidP="00CA2640">
      <w:pPr>
        <w:pStyle w:val="Listeavsnitt"/>
        <w:numPr>
          <w:ilvl w:val="0"/>
          <w:numId w:val="40"/>
        </w:numPr>
      </w:pPr>
      <w:r>
        <w:t>Prosjektets innovasjonsgrad: Om dette er nytt for den offentlige aktøren, eller nytt for alle</w:t>
      </w:r>
    </w:p>
    <w:p w14:paraId="5EEE9F60" w14:textId="77777777" w:rsidR="00AB65A5" w:rsidRDefault="00AB65A5" w:rsidP="00CA2640">
      <w:pPr>
        <w:pStyle w:val="Listeavsnitt"/>
        <w:numPr>
          <w:ilvl w:val="0"/>
          <w:numId w:val="40"/>
        </w:numPr>
      </w:pPr>
      <w:r>
        <w:t>Prosjektets forankring og incentivering: Om det har støtte hos ledelsen og de ansatte føler eierskap</w:t>
      </w:r>
    </w:p>
    <w:p w14:paraId="03650D48" w14:textId="77777777" w:rsidR="00AB65A5" w:rsidRDefault="00AB65A5" w:rsidP="00CA2640">
      <w:pPr>
        <w:pStyle w:val="Listeavsnitt"/>
        <w:numPr>
          <w:ilvl w:val="0"/>
          <w:numId w:val="40"/>
        </w:numPr>
      </w:pPr>
      <w:r>
        <w:t>Prosjektets åpenhet: Om det er mulig å benytte eksterne leverandører som også tar over risiko</w:t>
      </w:r>
    </w:p>
    <w:p w14:paraId="56BB29BE" w14:textId="77777777" w:rsidR="00AB65A5" w:rsidRDefault="00AB65A5" w:rsidP="00CA2640">
      <w:pPr>
        <w:pStyle w:val="Listeavsnitt"/>
        <w:numPr>
          <w:ilvl w:val="0"/>
          <w:numId w:val="40"/>
        </w:numPr>
      </w:pPr>
      <w:r>
        <w:t>Prosjektets risiko knyttet til direkte nytte: Hvor godt er nytten dokumentert</w:t>
      </w:r>
    </w:p>
    <w:p w14:paraId="653D4CC4" w14:textId="307D7E97" w:rsidR="00AB65A5" w:rsidRDefault="00AB65A5" w:rsidP="00CA2640">
      <w:pPr>
        <w:pStyle w:val="Listeavsnitt"/>
        <w:numPr>
          <w:ilvl w:val="0"/>
          <w:numId w:val="40"/>
        </w:numPr>
      </w:pPr>
      <w:r>
        <w:t>Prosjektets risiko knyttet til indirekte nytte (ekst</w:t>
      </w:r>
      <w:r w:rsidR="00CD5111">
        <w:t xml:space="preserve">ernaliteter): Hvor godt spredningen av </w:t>
      </w:r>
      <w:r>
        <w:t xml:space="preserve">nytten </w:t>
      </w:r>
      <w:r w:rsidR="00CD5111">
        <w:t xml:space="preserve">er </w:t>
      </w:r>
      <w:r>
        <w:t>dokumentert?</w:t>
      </w:r>
    </w:p>
    <w:p w14:paraId="7BB6E6DF" w14:textId="77777777" w:rsidR="00AB65A5" w:rsidRDefault="00AB65A5" w:rsidP="00AB65A5">
      <w:r>
        <w:t>Rapporten går gjennom en rekke eksempler (case) der vi viser hvordan disse egenskapene kan beskrives i praksis og hvordan de oversettes til en risikokostnad.</w:t>
      </w:r>
    </w:p>
    <w:p w14:paraId="32C3F9E4" w14:textId="77777777" w:rsidR="00AB65A5" w:rsidRPr="00BF4F17" w:rsidRDefault="00AB65A5" w:rsidP="00AB65A5">
      <w:pPr>
        <w:rPr>
          <w:b/>
        </w:rPr>
      </w:pPr>
      <w:r w:rsidRPr="00BF4F17">
        <w:rPr>
          <w:b/>
        </w:rPr>
        <w:t xml:space="preserve">Hvordan øke lønnsomheten ved å </w:t>
      </w:r>
      <w:r>
        <w:rPr>
          <w:b/>
        </w:rPr>
        <w:t>spre eller redusere</w:t>
      </w:r>
      <w:r w:rsidRPr="00BF4F17">
        <w:rPr>
          <w:b/>
        </w:rPr>
        <w:t xml:space="preserve"> risiko?</w:t>
      </w:r>
    </w:p>
    <w:p w14:paraId="2356637E" w14:textId="77777777" w:rsidR="00AB65A5" w:rsidRDefault="00AB65A5" w:rsidP="00AB65A5">
      <w:r>
        <w:t xml:space="preserve">Verdsettingen av innovasjonsrisiko basert på disse åtte egenskapene synliggjør det problematiske i at små offentlige aktører setter i gang med større innovasjonsprosjekter på egenhånd. Guiden peker i retning av at små kommuner og etater bør vurdere nøye om det er fornuftig å sette i gang risikofylte prosjekter, og heller bruke ressurser på å identifisere og implementere allerede utprøvde løsninger. Dersom man ønsker å unngå kostnader knyttet til usikkerhet kan følgende tiltak vurderes: </w:t>
      </w:r>
    </w:p>
    <w:p w14:paraId="44338D13" w14:textId="77777777" w:rsidR="00AB65A5" w:rsidRDefault="00AB65A5" w:rsidP="00CA2640">
      <w:pPr>
        <w:pStyle w:val="Listeavsnitt"/>
        <w:numPr>
          <w:ilvl w:val="0"/>
          <w:numId w:val="41"/>
        </w:numPr>
      </w:pPr>
      <w:r>
        <w:t xml:space="preserve">Prosjektets størrelse og risiko kan reduseres gjennom samarbeid/samfinansiering med andre offentlige aktører. </w:t>
      </w:r>
    </w:p>
    <w:p w14:paraId="08B7E381" w14:textId="77777777" w:rsidR="00AB65A5" w:rsidRPr="00BF4F17" w:rsidRDefault="00AB65A5" w:rsidP="00CA2640">
      <w:pPr>
        <w:pStyle w:val="Listeavsnitt"/>
        <w:numPr>
          <w:ilvl w:val="0"/>
          <w:numId w:val="41"/>
        </w:numPr>
      </w:pPr>
      <w:r w:rsidRPr="006B1077">
        <w:t xml:space="preserve">Kostnadsrisiko kan kuttes ved at man velger mer kjente og utprøvde løsninger. Dette er særlig viktig i små enheter i offentlig sektor. </w:t>
      </w:r>
    </w:p>
    <w:p w14:paraId="119F77ED" w14:textId="77777777" w:rsidR="00AB65A5" w:rsidRDefault="00AB65A5" w:rsidP="00CA2640">
      <w:pPr>
        <w:pStyle w:val="Listeavsnitt"/>
        <w:numPr>
          <w:ilvl w:val="0"/>
          <w:numId w:val="41"/>
        </w:numPr>
      </w:pPr>
      <w:r w:rsidRPr="006B1077">
        <w:t xml:space="preserve">Dersom prosjektet har høy innovasjonsgrad, er det en god ide å benytte eksterne leverandører som tar på seg kostnadsrisikoen. Dette er bare en god løsning dersom det er mulig å returnere til den gamle løsningen, </w:t>
      </w:r>
      <w:r>
        <w:t>ders</w:t>
      </w:r>
      <w:r w:rsidRPr="006B1077">
        <w:t>om prosjektet skulle feile.</w:t>
      </w:r>
    </w:p>
    <w:p w14:paraId="2DC86B15" w14:textId="77777777" w:rsidR="00AB65A5" w:rsidRDefault="00AB65A5" w:rsidP="00CA2640">
      <w:pPr>
        <w:pStyle w:val="Listeavsnitt"/>
        <w:numPr>
          <w:ilvl w:val="0"/>
          <w:numId w:val="41"/>
        </w:numPr>
      </w:pPr>
      <w:r>
        <w:t>Gjennom å styrke forankringen i ledelsen og bedre incentivene for de som skal gjennomføre prosjektet reduseres risiko, særlig knyttet til implementering.</w:t>
      </w:r>
    </w:p>
    <w:p w14:paraId="7CC0D001" w14:textId="77777777" w:rsidR="00AB65A5" w:rsidRPr="00AB4A6F" w:rsidRDefault="00AB65A5" w:rsidP="00CA2640">
      <w:pPr>
        <w:pStyle w:val="Listeavsnitt"/>
        <w:numPr>
          <w:ilvl w:val="0"/>
          <w:numId w:val="41"/>
        </w:numPr>
        <w:rPr>
          <w:b/>
        </w:rPr>
      </w:pPr>
      <w:r>
        <w:t>Gjennom å bedre dokumentasjonen av nytteeffekter reduseres risikoen i prosjektet.</w:t>
      </w:r>
    </w:p>
    <w:p w14:paraId="7421BCAE" w14:textId="77777777" w:rsidR="00AB65A5" w:rsidRDefault="00AB65A5" w:rsidP="00AB65A5">
      <w:pPr>
        <w:rPr>
          <w:b/>
        </w:rPr>
      </w:pPr>
      <w:r w:rsidRPr="00AB4A6F">
        <w:rPr>
          <w:b/>
        </w:rPr>
        <w:t>Noen politikkanbefalinger</w:t>
      </w:r>
    </w:p>
    <w:p w14:paraId="4D504257" w14:textId="77777777" w:rsidR="00AB65A5" w:rsidRDefault="00AB65A5" w:rsidP="00AB65A5">
      <w:r>
        <w:t>Vi trekker frem tre mekanismer som det offentlige kan ta tak i for å øke satsningen på innovasjon og stimulere til bedre innovasjonsarbeid:</w:t>
      </w:r>
    </w:p>
    <w:p w14:paraId="1B0DE970" w14:textId="77777777" w:rsidR="00AB65A5" w:rsidRDefault="00AB65A5" w:rsidP="00CA2640">
      <w:pPr>
        <w:pStyle w:val="Listeavsnitt"/>
        <w:numPr>
          <w:ilvl w:val="0"/>
          <w:numId w:val="43"/>
        </w:numPr>
      </w:pPr>
      <w:r>
        <w:lastRenderedPageBreak/>
        <w:t>Det offentlige (primært staten) kan tilby finansielle ressurser som reduserer den offentlige aktørens sårbarhet for innovasjonsrisiko. Dette innebærer at staten går inn og delfinansierer innovasjonsprosjektet for dermed å redusere størrelsen og aktørens sårbarhet.</w:t>
      </w:r>
    </w:p>
    <w:p w14:paraId="7FC11B64" w14:textId="77777777" w:rsidR="00AB65A5" w:rsidRDefault="00AB65A5" w:rsidP="00CA2640">
      <w:pPr>
        <w:pStyle w:val="Listeavsnitt"/>
        <w:numPr>
          <w:ilvl w:val="0"/>
          <w:numId w:val="43"/>
        </w:numPr>
      </w:pPr>
      <w:r>
        <w:t>Det offentlige kan tilby kompetanse og utredningskapasitet for å redusere risikoen i selve prosjektet. Dette gjelder både kostnadsrisiko og nytterisiko. Eksempelvis kan staten eller fylkeskommuner tilby prosesskompetanse der aktørene selv ikke har erfaring fra gjennomføring av slike prosjekter. Et alternativ til å tilby kompetanse og utredningskapasitet er å fasilitere samhandling og læring mellom aktører i offentlig sektor. Gjennom erfaringsutveksling og kunnskapsspredning kan prosjektrisikoen dras markant ned.</w:t>
      </w:r>
    </w:p>
    <w:p w14:paraId="2E44C3E4" w14:textId="77777777" w:rsidR="00AB65A5" w:rsidRDefault="00AB65A5" w:rsidP="00CA2640">
      <w:pPr>
        <w:pStyle w:val="Listeavsnitt"/>
        <w:numPr>
          <w:ilvl w:val="0"/>
          <w:numId w:val="43"/>
        </w:numPr>
      </w:pPr>
      <w:r>
        <w:t xml:space="preserve">Det offentlige kan også tilby at prosjektene blir gjennomført i enheter innen det offentlige som har bred og solid erfaring med gjennomføring av innovasjonsprosjekter. Hverken staten eller fylkeskommuner har i dag slike enheter. Difis rolle er i hovedsak veiledende og man åpner i liten grad for at ansatte i Difi skal kunne gå aktivt inn i gjennomføring av innovasjonsprosjekter over tid. I Danmark har man Mindlab som har blitt tildelt denne rollen. </w:t>
      </w:r>
    </w:p>
    <w:p w14:paraId="1F1BBF59" w14:textId="77777777" w:rsidR="00AB65A5" w:rsidRDefault="00AB65A5" w:rsidP="00AB65A5">
      <w:pPr>
        <w:ind w:left="360"/>
      </w:pPr>
      <w:r>
        <w:t>I denne rapporten viser vi at det norske virkemiddelapparatet er dårlig utviklet på alle disse tre områdene. Dagens ordninger for medfinansiering fungerer ikke optimalt (eksempelvis OFU-ordningen). Vi anbefaler at man i Norge vurderer om et senter av samme type som Mindlab bør opprettes.</w:t>
      </w:r>
    </w:p>
    <w:sectPr w:rsidR="00AB65A5" w:rsidSect="00E73DCD">
      <w:footerReference w:type="default" r:id="rId12"/>
      <w:headerReference w:type="first" r:id="rId13"/>
      <w:footerReference w:type="first" r:id="rId14"/>
      <w:footnotePr>
        <w:pos w:val="beneathText"/>
      </w:footnotePr>
      <w:pgSz w:w="11906" w:h="16838"/>
      <w:pgMar w:top="1418" w:right="1418" w:bottom="1418" w:left="1418" w:header="709" w:footer="2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FC35F1" w14:textId="77777777" w:rsidR="004604EB" w:rsidRDefault="004604EB" w:rsidP="00AE1CFA">
      <w:r>
        <w:separator/>
      </w:r>
    </w:p>
  </w:endnote>
  <w:endnote w:type="continuationSeparator" w:id="0">
    <w:p w14:paraId="2C9FD513" w14:textId="77777777" w:rsidR="004604EB" w:rsidRDefault="004604EB" w:rsidP="00AE1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enett"/>
      <w:tblW w:w="0" w:type="auto"/>
      <w:tblBorders>
        <w:bottom w:val="none" w:sz="0" w:space="0" w:color="auto"/>
        <w:insideH w:val="none" w:sz="0" w:space="0" w:color="auto"/>
      </w:tblBorders>
      <w:tblLayout w:type="fixed"/>
      <w:tblLook w:val="04A0" w:firstRow="1" w:lastRow="0" w:firstColumn="1" w:lastColumn="0" w:noHBand="0" w:noVBand="1"/>
    </w:tblPr>
    <w:tblGrid>
      <w:gridCol w:w="4990"/>
      <w:gridCol w:w="3088"/>
      <w:gridCol w:w="987"/>
    </w:tblGrid>
    <w:tr w:rsidR="00BB2CD8" w:rsidRPr="004068F8" w14:paraId="20C0275C" w14:textId="77777777" w:rsidTr="00CC3E8D">
      <w:trPr>
        <w:cnfStyle w:val="100000000000" w:firstRow="1" w:lastRow="0" w:firstColumn="0" w:lastColumn="0" w:oddVBand="0" w:evenVBand="0" w:oddHBand="0" w:evenHBand="0" w:firstRowFirstColumn="0" w:firstRowLastColumn="0" w:lastRowFirstColumn="0" w:lastRowLastColumn="0"/>
        <w:trHeight w:hRule="exact" w:val="170"/>
      </w:trPr>
      <w:tc>
        <w:tcPr>
          <w:tcW w:w="4990" w:type="dxa"/>
          <w:tcBorders>
            <w:top w:val="single" w:sz="4" w:space="0" w:color="D77F16" w:themeColor="accent2"/>
            <w:bottom w:val="single" w:sz="4" w:space="0" w:color="FFFFFF" w:themeColor="background1"/>
          </w:tcBorders>
        </w:tcPr>
        <w:p w14:paraId="6A2F5689" w14:textId="77777777" w:rsidR="00BB2CD8" w:rsidRPr="004068F8" w:rsidRDefault="00BB2CD8" w:rsidP="00AE1CFA">
          <w:pPr>
            <w:rPr>
              <w:lang w:val="fr-CA"/>
            </w:rPr>
          </w:pPr>
        </w:p>
      </w:tc>
      <w:tc>
        <w:tcPr>
          <w:tcW w:w="3088" w:type="dxa"/>
          <w:tcBorders>
            <w:top w:val="single" w:sz="4" w:space="0" w:color="D77F16" w:themeColor="accent2"/>
            <w:bottom w:val="single" w:sz="4" w:space="0" w:color="FFFFFF" w:themeColor="background1"/>
          </w:tcBorders>
        </w:tcPr>
        <w:p w14:paraId="3517BBB5" w14:textId="77777777" w:rsidR="00BB2CD8" w:rsidRPr="004068F8" w:rsidRDefault="00BB2CD8" w:rsidP="00AE1CFA">
          <w:pPr>
            <w:rPr>
              <w:lang w:val="fr-CA"/>
            </w:rPr>
          </w:pPr>
        </w:p>
      </w:tc>
      <w:tc>
        <w:tcPr>
          <w:tcW w:w="987" w:type="dxa"/>
          <w:tcBorders>
            <w:top w:val="single" w:sz="4" w:space="0" w:color="D77F16" w:themeColor="accent2"/>
            <w:bottom w:val="single" w:sz="4" w:space="0" w:color="FFFFFF" w:themeColor="background1"/>
          </w:tcBorders>
        </w:tcPr>
        <w:p w14:paraId="6A88E4D8" w14:textId="77777777" w:rsidR="00BB2CD8" w:rsidRPr="004068F8" w:rsidRDefault="00BB2CD8" w:rsidP="00AE1CFA">
          <w:pPr>
            <w:rPr>
              <w:lang w:val="fr-CA"/>
            </w:rPr>
          </w:pPr>
        </w:p>
      </w:tc>
    </w:tr>
    <w:tr w:rsidR="00BB2CD8" w14:paraId="1441D868" w14:textId="77777777" w:rsidTr="00CC3E8D">
      <w:tc>
        <w:tcPr>
          <w:tcW w:w="4990" w:type="dxa"/>
          <w:tcBorders>
            <w:top w:val="single" w:sz="4" w:space="0" w:color="FFFFFF" w:themeColor="background1"/>
          </w:tcBorders>
          <w:tcMar>
            <w:top w:w="57" w:type="dxa"/>
            <w:left w:w="0" w:type="dxa"/>
            <w:bottom w:w="0" w:type="dxa"/>
          </w:tcMar>
        </w:tcPr>
        <w:p w14:paraId="06B2B5B0" w14:textId="77777777" w:rsidR="00BB2CD8" w:rsidRDefault="00BB2CD8" w:rsidP="00AE1CFA">
          <w:pPr>
            <w:pStyle w:val="BunntekstMenon"/>
            <w:rPr>
              <w:lang w:val="fr-CA"/>
            </w:rPr>
          </w:pPr>
          <w:r w:rsidRPr="00AB60FE">
            <w:t>MENON ECONOMICS</w:t>
          </w:r>
        </w:p>
      </w:tc>
      <w:tc>
        <w:tcPr>
          <w:tcW w:w="3088" w:type="dxa"/>
          <w:tcBorders>
            <w:top w:val="single" w:sz="4" w:space="0" w:color="FFFFFF" w:themeColor="background1"/>
            <w:right w:val="single" w:sz="4" w:space="0" w:color="D77F16" w:themeColor="accent2"/>
          </w:tcBorders>
          <w:tcMar>
            <w:top w:w="57" w:type="dxa"/>
            <w:bottom w:w="0" w:type="dxa"/>
          </w:tcMar>
        </w:tcPr>
        <w:p w14:paraId="10F0DC6F" w14:textId="29B92DB8" w:rsidR="00BB2CD8" w:rsidRDefault="00BB2CD8" w:rsidP="00A00DEB">
          <w:pPr>
            <w:pStyle w:val="BunntekstMenon"/>
            <w:jc w:val="right"/>
            <w:rPr>
              <w:lang w:val="fr-CA"/>
            </w:rPr>
          </w:pPr>
          <w:r>
            <w:rPr>
              <w:rStyle w:val="Sidetall"/>
            </w:rPr>
            <w:fldChar w:fldCharType="begin"/>
          </w:r>
          <w:r>
            <w:rPr>
              <w:rStyle w:val="Sidetall"/>
            </w:rPr>
            <w:instrText xml:space="preserve">PAGE  </w:instrText>
          </w:r>
          <w:r>
            <w:rPr>
              <w:rStyle w:val="Sidetall"/>
            </w:rPr>
            <w:fldChar w:fldCharType="separate"/>
          </w:r>
          <w:r w:rsidR="00A40C37">
            <w:rPr>
              <w:rStyle w:val="Sidetall"/>
              <w:noProof/>
            </w:rPr>
            <w:t>4</w:t>
          </w:r>
          <w:r>
            <w:rPr>
              <w:rStyle w:val="Sidetall"/>
            </w:rPr>
            <w:fldChar w:fldCharType="end"/>
          </w:r>
        </w:p>
      </w:tc>
      <w:tc>
        <w:tcPr>
          <w:tcW w:w="987" w:type="dxa"/>
          <w:tcBorders>
            <w:top w:val="single" w:sz="4" w:space="0" w:color="FFFFFF" w:themeColor="background1"/>
            <w:left w:val="single" w:sz="4" w:space="0" w:color="D77F16" w:themeColor="accent2"/>
          </w:tcBorders>
          <w:tcMar>
            <w:top w:w="57" w:type="dxa"/>
            <w:bottom w:w="0" w:type="dxa"/>
            <w:right w:w="0" w:type="dxa"/>
          </w:tcMar>
        </w:tcPr>
        <w:p w14:paraId="03454A59" w14:textId="77777777" w:rsidR="00BB2CD8" w:rsidRDefault="00BB2CD8" w:rsidP="00AE1CFA">
          <w:pPr>
            <w:pStyle w:val="BunntekstMenon"/>
            <w:rPr>
              <w:lang w:val="fr-CA"/>
            </w:rPr>
          </w:pPr>
          <w:r>
            <w:t>RAPPORT</w:t>
          </w:r>
        </w:p>
      </w:tc>
    </w:tr>
  </w:tbl>
  <w:p w14:paraId="3D17B75F" w14:textId="77777777" w:rsidR="00BB2CD8" w:rsidRPr="004E5781" w:rsidRDefault="00BB2CD8" w:rsidP="00AE1CFA">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FC533" w14:textId="77777777" w:rsidR="00BB2CD8" w:rsidRDefault="00BB2CD8" w:rsidP="00AE1CFA">
    <w:pPr>
      <w:pStyle w:val="Bunntekst"/>
    </w:pPr>
    <w:r>
      <w:rPr>
        <w:noProof/>
        <w:lang w:eastAsia="nb-NO"/>
      </w:rPr>
      <w:drawing>
        <wp:anchor distT="0" distB="0" distL="114300" distR="114300" simplePos="0" relativeHeight="251663359" behindDoc="0" locked="0" layoutInCell="1" allowOverlap="1" wp14:anchorId="05C9783E" wp14:editId="1D168C7C">
          <wp:simplePos x="0" y="0"/>
          <wp:positionH relativeFrom="column">
            <wp:posOffset>-620395</wp:posOffset>
          </wp:positionH>
          <wp:positionV relativeFrom="paragraph">
            <wp:posOffset>-728677</wp:posOffset>
          </wp:positionV>
          <wp:extent cx="6974541" cy="785116"/>
          <wp:effectExtent l="0" t="0" r="0" b="254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ON BUNNELEMENT RGB.png"/>
                  <pic:cNvPicPr/>
                </pic:nvPicPr>
                <pic:blipFill>
                  <a:blip r:embed="rId1">
                    <a:extLst>
                      <a:ext uri="{28A0092B-C50C-407E-A947-70E740481C1C}">
                        <a14:useLocalDpi xmlns:a14="http://schemas.microsoft.com/office/drawing/2010/main" val="0"/>
                      </a:ext>
                    </a:extLst>
                  </a:blip>
                  <a:stretch>
                    <a:fillRect/>
                  </a:stretch>
                </pic:blipFill>
                <pic:spPr>
                  <a:xfrm>
                    <a:off x="0" y="0"/>
                    <a:ext cx="6974541" cy="785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9AA84" w14:textId="77777777" w:rsidR="004604EB" w:rsidRDefault="004604EB" w:rsidP="00AE1CFA">
      <w:r>
        <w:separator/>
      </w:r>
    </w:p>
  </w:footnote>
  <w:footnote w:type="continuationSeparator" w:id="0">
    <w:p w14:paraId="1B0E1782" w14:textId="77777777" w:rsidR="004604EB" w:rsidRDefault="004604EB" w:rsidP="00AE1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AE26C" w14:textId="3DE93EA6" w:rsidR="00BB2CD8" w:rsidRDefault="00BB2CD8" w:rsidP="00AE1CFA">
    <w:pPr>
      <w:pStyle w:val="Topptekst"/>
    </w:pPr>
    <w:r>
      <w:rPr>
        <w:noProof/>
        <w:lang w:eastAsia="nb-NO"/>
      </w:rPr>
      <w:drawing>
        <wp:anchor distT="0" distB="0" distL="114300" distR="114300" simplePos="0" relativeHeight="251665407" behindDoc="0" locked="0" layoutInCell="1" allowOverlap="1" wp14:anchorId="381535A8" wp14:editId="5C0B9E84">
          <wp:simplePos x="0" y="0"/>
          <wp:positionH relativeFrom="column">
            <wp:posOffset>3907155</wp:posOffset>
          </wp:positionH>
          <wp:positionV relativeFrom="paragraph">
            <wp:posOffset>0</wp:posOffset>
          </wp:positionV>
          <wp:extent cx="2287270" cy="1172210"/>
          <wp:effectExtent l="0" t="0" r="0" b="8890"/>
          <wp:wrapThrough wrapText="bothSides">
            <wp:wrapPolygon edited="0">
              <wp:start x="0" y="0"/>
              <wp:lineTo x="0" y="21413"/>
              <wp:lineTo x="21408" y="21413"/>
              <wp:lineTo x="21408" y="0"/>
              <wp:lineTo x="0" y="0"/>
            </wp:wrapPolygon>
          </wp:wrapThrough>
          <wp:docPr id="79" name="Bilde 79" descr="http://www.ks.no/globalassets/vedlegg-til-hvert-fagomrader/utvikling/fou/fou-rappor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s.no/globalassets/vedlegg-til-hvert-fagomrader/utvikling/fou/fou-rapport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727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62334" behindDoc="0" locked="0" layoutInCell="1" allowOverlap="1" wp14:anchorId="511273E3" wp14:editId="4BF4B4D0">
          <wp:simplePos x="0" y="0"/>
          <wp:positionH relativeFrom="column">
            <wp:posOffset>-412750</wp:posOffset>
          </wp:positionH>
          <wp:positionV relativeFrom="paragraph">
            <wp:posOffset>1606</wp:posOffset>
          </wp:positionV>
          <wp:extent cx="1192402" cy="1183341"/>
          <wp:effectExtent l="0" t="0" r="1905" b="1079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ON ECONOMICS LOGO RGB.png"/>
                  <pic:cNvPicPr/>
                </pic:nvPicPr>
                <pic:blipFill>
                  <a:blip r:embed="rId2">
                    <a:extLst>
                      <a:ext uri="{28A0092B-C50C-407E-A947-70E740481C1C}">
                        <a14:useLocalDpi xmlns:a14="http://schemas.microsoft.com/office/drawing/2010/main" val="0"/>
                      </a:ext>
                    </a:extLst>
                  </a:blip>
                  <a:stretch>
                    <a:fillRect/>
                  </a:stretch>
                </pic:blipFill>
                <pic:spPr>
                  <a:xfrm>
                    <a:off x="0" y="0"/>
                    <a:ext cx="1216542" cy="12072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F3F15"/>
    <w:multiLevelType w:val="hybridMultilevel"/>
    <w:tmpl w:val="68B41DAA"/>
    <w:lvl w:ilvl="0" w:tplc="2884D1F6">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A02324D"/>
    <w:multiLevelType w:val="hybridMultilevel"/>
    <w:tmpl w:val="DF56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E5208"/>
    <w:multiLevelType w:val="hybridMultilevel"/>
    <w:tmpl w:val="A7CE04A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C5A0063"/>
    <w:multiLevelType w:val="hybridMultilevel"/>
    <w:tmpl w:val="DA546CD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DEE13EB"/>
    <w:multiLevelType w:val="hybridMultilevel"/>
    <w:tmpl w:val="A5D44C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4287C11"/>
    <w:multiLevelType w:val="hybridMultilevel"/>
    <w:tmpl w:val="BCAC829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8A47F2D"/>
    <w:multiLevelType w:val="hybridMultilevel"/>
    <w:tmpl w:val="8D30E3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475BE6"/>
    <w:multiLevelType w:val="hybridMultilevel"/>
    <w:tmpl w:val="BFACC0D4"/>
    <w:lvl w:ilvl="0" w:tplc="36CED514">
      <w:start w:val="1"/>
      <w:numFmt w:val="decimal"/>
      <w:lvlText w:val="%1)"/>
      <w:lvlJc w:val="left"/>
      <w:pPr>
        <w:ind w:left="1068"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B3B6029"/>
    <w:multiLevelType w:val="hybridMultilevel"/>
    <w:tmpl w:val="C4904278"/>
    <w:lvl w:ilvl="0" w:tplc="0414001B">
      <w:start w:val="1"/>
      <w:numFmt w:val="lowerRoman"/>
      <w:lvlText w:val="%1."/>
      <w:lvlJc w:val="righ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B8A3C6B"/>
    <w:multiLevelType w:val="hybridMultilevel"/>
    <w:tmpl w:val="0E8C6BC2"/>
    <w:lvl w:ilvl="0" w:tplc="5BD0CF6E">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E485749"/>
    <w:multiLevelType w:val="hybridMultilevel"/>
    <w:tmpl w:val="B50073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E914CCF"/>
    <w:multiLevelType w:val="hybridMultilevel"/>
    <w:tmpl w:val="AC049C3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EF37CEF"/>
    <w:multiLevelType w:val="hybridMultilevel"/>
    <w:tmpl w:val="5420B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996D7D"/>
    <w:multiLevelType w:val="hybridMultilevel"/>
    <w:tmpl w:val="601EF5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353512B"/>
    <w:multiLevelType w:val="hybridMultilevel"/>
    <w:tmpl w:val="C4904278"/>
    <w:lvl w:ilvl="0" w:tplc="0414001B">
      <w:start w:val="1"/>
      <w:numFmt w:val="lowerRoman"/>
      <w:lvlText w:val="%1."/>
      <w:lvlJc w:val="righ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5E34014"/>
    <w:multiLevelType w:val="hybridMultilevel"/>
    <w:tmpl w:val="004E11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6E5532B"/>
    <w:multiLevelType w:val="hybridMultilevel"/>
    <w:tmpl w:val="A784E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26919"/>
    <w:multiLevelType w:val="multilevel"/>
    <w:tmpl w:val="6FB4E6AA"/>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2E756A55"/>
    <w:multiLevelType w:val="hybridMultilevel"/>
    <w:tmpl w:val="409E832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9" w15:restartNumberingAfterBreak="0">
    <w:nsid w:val="38431F4C"/>
    <w:multiLevelType w:val="hybridMultilevel"/>
    <w:tmpl w:val="12F80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C31D65"/>
    <w:multiLevelType w:val="hybridMultilevel"/>
    <w:tmpl w:val="B090FF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E225CFC"/>
    <w:multiLevelType w:val="hybridMultilevel"/>
    <w:tmpl w:val="E11200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F92066B"/>
    <w:multiLevelType w:val="hybridMultilevel"/>
    <w:tmpl w:val="DB0A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4745CC"/>
    <w:multiLevelType w:val="hybridMultilevel"/>
    <w:tmpl w:val="C1962C6C"/>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3612428"/>
    <w:multiLevelType w:val="hybridMultilevel"/>
    <w:tmpl w:val="574A17A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3845C5C"/>
    <w:multiLevelType w:val="hybridMultilevel"/>
    <w:tmpl w:val="FA4843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6E05324"/>
    <w:multiLevelType w:val="multilevel"/>
    <w:tmpl w:val="6FB4E6AA"/>
    <w:lvl w:ilvl="0">
      <w:start w:val="1"/>
      <w:numFmt w:val="decimal"/>
      <w:pStyle w:val="Overskrift1"/>
      <w:lvlText w:val="%1."/>
      <w:lvlJc w:val="left"/>
      <w:pPr>
        <w:ind w:left="0" w:firstLine="0"/>
      </w:pPr>
      <w:rPr>
        <w:rFonts w:hint="default"/>
      </w:rPr>
    </w:lvl>
    <w:lvl w:ilvl="1">
      <w:start w:val="1"/>
      <w:numFmt w:val="decimal"/>
      <w:pStyle w:val="Overskrift2"/>
      <w:lvlText w:val="%1.%2."/>
      <w:lvlJc w:val="left"/>
      <w:pPr>
        <w:ind w:left="0" w:firstLine="0"/>
      </w:pPr>
      <w:rPr>
        <w:rFonts w:hint="default"/>
      </w:rPr>
    </w:lvl>
    <w:lvl w:ilvl="2">
      <w:start w:val="1"/>
      <w:numFmt w:val="decimal"/>
      <w:pStyle w:val="Overskrift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7" w15:restartNumberingAfterBreak="0">
    <w:nsid w:val="487B4B4B"/>
    <w:multiLevelType w:val="hybridMultilevel"/>
    <w:tmpl w:val="78B63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184DE1"/>
    <w:multiLevelType w:val="hybridMultilevel"/>
    <w:tmpl w:val="0946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1D3F19"/>
    <w:multiLevelType w:val="hybridMultilevel"/>
    <w:tmpl w:val="E1DC575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512C5701"/>
    <w:multiLevelType w:val="hybridMultilevel"/>
    <w:tmpl w:val="68B41DAA"/>
    <w:lvl w:ilvl="0" w:tplc="2884D1F6">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51EC1AB1"/>
    <w:multiLevelType w:val="hybridMultilevel"/>
    <w:tmpl w:val="6232A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87018D"/>
    <w:multiLevelType w:val="hybridMultilevel"/>
    <w:tmpl w:val="61765A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9DF11F0"/>
    <w:multiLevelType w:val="hybridMultilevel"/>
    <w:tmpl w:val="A9D4DB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C9E6CD4"/>
    <w:multiLevelType w:val="hybridMultilevel"/>
    <w:tmpl w:val="3BCA0E3A"/>
    <w:lvl w:ilvl="0" w:tplc="9F8E8024">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5F271DF5"/>
    <w:multiLevelType w:val="hybridMultilevel"/>
    <w:tmpl w:val="0060DD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F5A55A3"/>
    <w:multiLevelType w:val="hybridMultilevel"/>
    <w:tmpl w:val="8EC0D452"/>
    <w:lvl w:ilvl="0" w:tplc="04140001">
      <w:start w:val="1"/>
      <w:numFmt w:val="bullet"/>
      <w:lvlText w:val=""/>
      <w:lvlJc w:val="left"/>
      <w:pPr>
        <w:ind w:left="720" w:hanging="360"/>
      </w:pPr>
      <w:rPr>
        <w:rFonts w:ascii="Symbol" w:hAnsi="Symbol" w:hint="default"/>
      </w:rPr>
    </w:lvl>
    <w:lvl w:ilvl="1" w:tplc="5BD0CF6E">
      <w:start w:val="1"/>
      <w:numFmt w:val="decimal"/>
      <w:lvlText w:val="%2)"/>
      <w:lvlJc w:val="left"/>
      <w:pPr>
        <w:ind w:left="1440" w:hanging="360"/>
      </w:pPr>
      <w:rPr>
        <w:rFont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0304BBF"/>
    <w:multiLevelType w:val="hybridMultilevel"/>
    <w:tmpl w:val="769E062C"/>
    <w:lvl w:ilvl="0" w:tplc="C83E9B46">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0637866"/>
    <w:multiLevelType w:val="hybridMultilevel"/>
    <w:tmpl w:val="4256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EC7327"/>
    <w:multiLevelType w:val="hybridMultilevel"/>
    <w:tmpl w:val="D4985C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20D5597"/>
    <w:multiLevelType w:val="hybridMultilevel"/>
    <w:tmpl w:val="61AC7B58"/>
    <w:lvl w:ilvl="0" w:tplc="0414000F">
      <w:start w:val="1"/>
      <w:numFmt w:val="decimal"/>
      <w:lvlText w:val="%1."/>
      <w:lvlJc w:val="left"/>
      <w:pPr>
        <w:ind w:left="360" w:hanging="360"/>
      </w:p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17"/>
  </w:num>
  <w:num w:numId="2">
    <w:abstractNumId w:val="26"/>
  </w:num>
  <w:num w:numId="3">
    <w:abstractNumId w:val="26"/>
  </w:num>
  <w:num w:numId="4">
    <w:abstractNumId w:val="26"/>
    <w:lvlOverride w:ilvl="0">
      <w:lvl w:ilvl="0">
        <w:start w:val="1"/>
        <w:numFmt w:val="decimal"/>
        <w:pStyle w:val="Overskrift1"/>
        <w:lvlText w:val="%1."/>
        <w:lvlJc w:val="left"/>
        <w:pPr>
          <w:ind w:left="0" w:firstLine="0"/>
        </w:pPr>
        <w:rPr>
          <w:rFonts w:hint="default"/>
          <w:color w:val="auto"/>
        </w:rPr>
      </w:lvl>
    </w:lvlOverride>
    <w:lvlOverride w:ilvl="1">
      <w:lvl w:ilvl="1">
        <w:start w:val="1"/>
        <w:numFmt w:val="decimal"/>
        <w:pStyle w:val="Overskrift2"/>
        <w:lvlText w:val="%1.%2."/>
        <w:lvlJc w:val="left"/>
        <w:pPr>
          <w:ind w:left="0" w:firstLine="0"/>
        </w:pPr>
        <w:rPr>
          <w:rFonts w:hint="default"/>
          <w:color w:val="auto"/>
        </w:rPr>
      </w:lvl>
    </w:lvlOverride>
    <w:lvlOverride w:ilvl="2">
      <w:lvl w:ilvl="2">
        <w:start w:val="1"/>
        <w:numFmt w:val="decimal"/>
        <w:pStyle w:val="Overskrift3"/>
        <w:lvlText w:val="%1.%2.%3."/>
        <w:lvlJc w:val="left"/>
        <w:pPr>
          <w:ind w:left="0" w:firstLine="0"/>
        </w:pPr>
        <w:rPr>
          <w:rFonts w:hint="default"/>
          <w:color w:val="auto"/>
        </w:rPr>
      </w:lvl>
    </w:lvlOverride>
  </w:num>
  <w:num w:numId="5">
    <w:abstractNumId w:val="7"/>
  </w:num>
  <w:num w:numId="6">
    <w:abstractNumId w:val="40"/>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29"/>
  </w:num>
  <w:num w:numId="10">
    <w:abstractNumId w:val="38"/>
  </w:num>
  <w:num w:numId="11">
    <w:abstractNumId w:val="12"/>
  </w:num>
  <w:num w:numId="12">
    <w:abstractNumId w:val="16"/>
  </w:num>
  <w:num w:numId="13">
    <w:abstractNumId w:val="15"/>
  </w:num>
  <w:num w:numId="14">
    <w:abstractNumId w:val="28"/>
  </w:num>
  <w:num w:numId="15">
    <w:abstractNumId w:val="22"/>
  </w:num>
  <w:num w:numId="16">
    <w:abstractNumId w:val="31"/>
  </w:num>
  <w:num w:numId="17">
    <w:abstractNumId w:val="1"/>
  </w:num>
  <w:num w:numId="18">
    <w:abstractNumId w:val="37"/>
  </w:num>
  <w:num w:numId="19">
    <w:abstractNumId w:val="0"/>
  </w:num>
  <w:num w:numId="20">
    <w:abstractNumId w:val="35"/>
  </w:num>
  <w:num w:numId="21">
    <w:abstractNumId w:val="39"/>
  </w:num>
  <w:num w:numId="22">
    <w:abstractNumId w:val="27"/>
  </w:num>
  <w:num w:numId="23">
    <w:abstractNumId w:val="19"/>
  </w:num>
  <w:num w:numId="24">
    <w:abstractNumId w:val="11"/>
  </w:num>
  <w:num w:numId="25">
    <w:abstractNumId w:val="24"/>
  </w:num>
  <w:num w:numId="26">
    <w:abstractNumId w:val="8"/>
  </w:num>
  <w:num w:numId="27">
    <w:abstractNumId w:val="14"/>
  </w:num>
  <w:num w:numId="28">
    <w:abstractNumId w:val="13"/>
  </w:num>
  <w:num w:numId="29">
    <w:abstractNumId w:val="34"/>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30"/>
  </w:num>
  <w:num w:numId="33">
    <w:abstractNumId w:val="9"/>
  </w:num>
  <w:num w:numId="34">
    <w:abstractNumId w:val="25"/>
  </w:num>
  <w:num w:numId="35">
    <w:abstractNumId w:val="32"/>
  </w:num>
  <w:num w:numId="36">
    <w:abstractNumId w:val="4"/>
  </w:num>
  <w:num w:numId="37">
    <w:abstractNumId w:val="3"/>
  </w:num>
  <w:num w:numId="38">
    <w:abstractNumId w:val="21"/>
  </w:num>
  <w:num w:numId="39">
    <w:abstractNumId w:val="36"/>
  </w:num>
  <w:num w:numId="40">
    <w:abstractNumId w:val="2"/>
  </w:num>
  <w:num w:numId="41">
    <w:abstractNumId w:val="23"/>
  </w:num>
  <w:num w:numId="42">
    <w:abstractNumId w:val="20"/>
  </w:num>
  <w:num w:numId="43">
    <w:abstractNumId w:val="5"/>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92E"/>
    <w:rsid w:val="000003B6"/>
    <w:rsid w:val="0000040F"/>
    <w:rsid w:val="0000042E"/>
    <w:rsid w:val="000005C8"/>
    <w:rsid w:val="00001591"/>
    <w:rsid w:val="0000223A"/>
    <w:rsid w:val="00004152"/>
    <w:rsid w:val="000064A5"/>
    <w:rsid w:val="00007A31"/>
    <w:rsid w:val="00011F0F"/>
    <w:rsid w:val="00014F48"/>
    <w:rsid w:val="00016A85"/>
    <w:rsid w:val="000205B1"/>
    <w:rsid w:val="0002274C"/>
    <w:rsid w:val="00024270"/>
    <w:rsid w:val="000261E0"/>
    <w:rsid w:val="00026916"/>
    <w:rsid w:val="000274AE"/>
    <w:rsid w:val="00030DF2"/>
    <w:rsid w:val="000328CC"/>
    <w:rsid w:val="00033571"/>
    <w:rsid w:val="00036508"/>
    <w:rsid w:val="00037037"/>
    <w:rsid w:val="00037B19"/>
    <w:rsid w:val="000445A4"/>
    <w:rsid w:val="000456E5"/>
    <w:rsid w:val="00046DE3"/>
    <w:rsid w:val="00046EE1"/>
    <w:rsid w:val="000508C4"/>
    <w:rsid w:val="00053948"/>
    <w:rsid w:val="00061E63"/>
    <w:rsid w:val="00066959"/>
    <w:rsid w:val="0006742F"/>
    <w:rsid w:val="000676D9"/>
    <w:rsid w:val="000724AA"/>
    <w:rsid w:val="000753C2"/>
    <w:rsid w:val="00076AB7"/>
    <w:rsid w:val="00076EFE"/>
    <w:rsid w:val="00077AB7"/>
    <w:rsid w:val="000802A6"/>
    <w:rsid w:val="00080D53"/>
    <w:rsid w:val="00082696"/>
    <w:rsid w:val="000849BC"/>
    <w:rsid w:val="000916A8"/>
    <w:rsid w:val="000928B7"/>
    <w:rsid w:val="00094A23"/>
    <w:rsid w:val="000A0001"/>
    <w:rsid w:val="000A31FE"/>
    <w:rsid w:val="000A5BC2"/>
    <w:rsid w:val="000A79C8"/>
    <w:rsid w:val="000A7B6A"/>
    <w:rsid w:val="000B04AB"/>
    <w:rsid w:val="000B2690"/>
    <w:rsid w:val="000B3206"/>
    <w:rsid w:val="000B36E6"/>
    <w:rsid w:val="000B4499"/>
    <w:rsid w:val="000B69CC"/>
    <w:rsid w:val="000B6F6D"/>
    <w:rsid w:val="000C1CC0"/>
    <w:rsid w:val="000C2B5F"/>
    <w:rsid w:val="000C500C"/>
    <w:rsid w:val="000C5EBA"/>
    <w:rsid w:val="000C6260"/>
    <w:rsid w:val="000D0EB8"/>
    <w:rsid w:val="000D105C"/>
    <w:rsid w:val="000D330B"/>
    <w:rsid w:val="000D3DB3"/>
    <w:rsid w:val="000D4903"/>
    <w:rsid w:val="000D56D7"/>
    <w:rsid w:val="000E054A"/>
    <w:rsid w:val="000E1243"/>
    <w:rsid w:val="000E2A67"/>
    <w:rsid w:val="000E3102"/>
    <w:rsid w:val="000E3649"/>
    <w:rsid w:val="000E3C68"/>
    <w:rsid w:val="000E40EE"/>
    <w:rsid w:val="000E428B"/>
    <w:rsid w:val="000F1C9F"/>
    <w:rsid w:val="000F2571"/>
    <w:rsid w:val="00100CFF"/>
    <w:rsid w:val="00102E54"/>
    <w:rsid w:val="00103515"/>
    <w:rsid w:val="00103FE0"/>
    <w:rsid w:val="00104C42"/>
    <w:rsid w:val="00105541"/>
    <w:rsid w:val="00105746"/>
    <w:rsid w:val="001063D2"/>
    <w:rsid w:val="001105C2"/>
    <w:rsid w:val="00111231"/>
    <w:rsid w:val="00111F74"/>
    <w:rsid w:val="00121211"/>
    <w:rsid w:val="00122605"/>
    <w:rsid w:val="001226CB"/>
    <w:rsid w:val="00122AD6"/>
    <w:rsid w:val="00122E83"/>
    <w:rsid w:val="00124FDB"/>
    <w:rsid w:val="001267DE"/>
    <w:rsid w:val="0013007D"/>
    <w:rsid w:val="00132E56"/>
    <w:rsid w:val="00133180"/>
    <w:rsid w:val="00134F41"/>
    <w:rsid w:val="00140593"/>
    <w:rsid w:val="00140892"/>
    <w:rsid w:val="001422A5"/>
    <w:rsid w:val="00142333"/>
    <w:rsid w:val="00143DDA"/>
    <w:rsid w:val="00144674"/>
    <w:rsid w:val="00146296"/>
    <w:rsid w:val="0015172C"/>
    <w:rsid w:val="00151F4E"/>
    <w:rsid w:val="001537F9"/>
    <w:rsid w:val="00154208"/>
    <w:rsid w:val="001577C0"/>
    <w:rsid w:val="00164B15"/>
    <w:rsid w:val="00165CB9"/>
    <w:rsid w:val="00173FAE"/>
    <w:rsid w:val="001771ED"/>
    <w:rsid w:val="00177529"/>
    <w:rsid w:val="001818C9"/>
    <w:rsid w:val="00182F75"/>
    <w:rsid w:val="00185CAD"/>
    <w:rsid w:val="00185E8D"/>
    <w:rsid w:val="00185F1B"/>
    <w:rsid w:val="001873EA"/>
    <w:rsid w:val="00191D60"/>
    <w:rsid w:val="00193073"/>
    <w:rsid w:val="00193882"/>
    <w:rsid w:val="00193E18"/>
    <w:rsid w:val="00194346"/>
    <w:rsid w:val="001948C4"/>
    <w:rsid w:val="00196BF9"/>
    <w:rsid w:val="001A414F"/>
    <w:rsid w:val="001A6C3D"/>
    <w:rsid w:val="001B3818"/>
    <w:rsid w:val="001B7C84"/>
    <w:rsid w:val="001D0C72"/>
    <w:rsid w:val="001D1D68"/>
    <w:rsid w:val="001D2C5C"/>
    <w:rsid w:val="001D436A"/>
    <w:rsid w:val="001D520C"/>
    <w:rsid w:val="001D6393"/>
    <w:rsid w:val="001D71B9"/>
    <w:rsid w:val="001E1D35"/>
    <w:rsid w:val="001E469D"/>
    <w:rsid w:val="001E6709"/>
    <w:rsid w:val="001F00A9"/>
    <w:rsid w:val="001F4160"/>
    <w:rsid w:val="001F5226"/>
    <w:rsid w:val="001F568E"/>
    <w:rsid w:val="001F5708"/>
    <w:rsid w:val="002005FC"/>
    <w:rsid w:val="002007B6"/>
    <w:rsid w:val="00201057"/>
    <w:rsid w:val="00205263"/>
    <w:rsid w:val="00206562"/>
    <w:rsid w:val="00207307"/>
    <w:rsid w:val="0020739B"/>
    <w:rsid w:val="002135B3"/>
    <w:rsid w:val="00213860"/>
    <w:rsid w:val="00214096"/>
    <w:rsid w:val="002149F3"/>
    <w:rsid w:val="00214A79"/>
    <w:rsid w:val="002175BE"/>
    <w:rsid w:val="00217FA1"/>
    <w:rsid w:val="002201CE"/>
    <w:rsid w:val="002204CA"/>
    <w:rsid w:val="002212D9"/>
    <w:rsid w:val="002220B8"/>
    <w:rsid w:val="00222D41"/>
    <w:rsid w:val="00223CA6"/>
    <w:rsid w:val="00224070"/>
    <w:rsid w:val="00225495"/>
    <w:rsid w:val="00226C3A"/>
    <w:rsid w:val="002277C4"/>
    <w:rsid w:val="0023010F"/>
    <w:rsid w:val="00231A46"/>
    <w:rsid w:val="002327D5"/>
    <w:rsid w:val="00234C60"/>
    <w:rsid w:val="00235CDC"/>
    <w:rsid w:val="00235CE7"/>
    <w:rsid w:val="00241C1F"/>
    <w:rsid w:val="00242F7D"/>
    <w:rsid w:val="00242FBA"/>
    <w:rsid w:val="00243E42"/>
    <w:rsid w:val="00261C92"/>
    <w:rsid w:val="0026286F"/>
    <w:rsid w:val="002633E0"/>
    <w:rsid w:val="0027132C"/>
    <w:rsid w:val="00273155"/>
    <w:rsid w:val="0027499C"/>
    <w:rsid w:val="00275EF2"/>
    <w:rsid w:val="00280508"/>
    <w:rsid w:val="002812D6"/>
    <w:rsid w:val="00286543"/>
    <w:rsid w:val="00286F37"/>
    <w:rsid w:val="00287E1E"/>
    <w:rsid w:val="00292E9D"/>
    <w:rsid w:val="00295F3A"/>
    <w:rsid w:val="00297A90"/>
    <w:rsid w:val="002A128C"/>
    <w:rsid w:val="002A431D"/>
    <w:rsid w:val="002A4D75"/>
    <w:rsid w:val="002B0181"/>
    <w:rsid w:val="002B0FF6"/>
    <w:rsid w:val="002B23CF"/>
    <w:rsid w:val="002B30BF"/>
    <w:rsid w:val="002B43A4"/>
    <w:rsid w:val="002B64B9"/>
    <w:rsid w:val="002B6B95"/>
    <w:rsid w:val="002C0CE6"/>
    <w:rsid w:val="002C3E32"/>
    <w:rsid w:val="002C4C70"/>
    <w:rsid w:val="002C5B75"/>
    <w:rsid w:val="002C64E8"/>
    <w:rsid w:val="002C659C"/>
    <w:rsid w:val="002C69B6"/>
    <w:rsid w:val="002D0FDF"/>
    <w:rsid w:val="002D185B"/>
    <w:rsid w:val="002D26ED"/>
    <w:rsid w:val="002D2730"/>
    <w:rsid w:val="002D2D0E"/>
    <w:rsid w:val="002D685D"/>
    <w:rsid w:val="002E0257"/>
    <w:rsid w:val="002E0FD0"/>
    <w:rsid w:val="002E1455"/>
    <w:rsid w:val="002E153D"/>
    <w:rsid w:val="002E1D7C"/>
    <w:rsid w:val="002E4E56"/>
    <w:rsid w:val="002E54D7"/>
    <w:rsid w:val="002E6360"/>
    <w:rsid w:val="002E6AA4"/>
    <w:rsid w:val="002F0CF1"/>
    <w:rsid w:val="002F0EF5"/>
    <w:rsid w:val="002F257F"/>
    <w:rsid w:val="002F60AE"/>
    <w:rsid w:val="002F6CAC"/>
    <w:rsid w:val="003003F9"/>
    <w:rsid w:val="00301820"/>
    <w:rsid w:val="00303019"/>
    <w:rsid w:val="00304979"/>
    <w:rsid w:val="00304C87"/>
    <w:rsid w:val="00305B1F"/>
    <w:rsid w:val="0030651B"/>
    <w:rsid w:val="003072D4"/>
    <w:rsid w:val="00312E64"/>
    <w:rsid w:val="0031420C"/>
    <w:rsid w:val="00316A35"/>
    <w:rsid w:val="00317B32"/>
    <w:rsid w:val="00317EB3"/>
    <w:rsid w:val="00320A39"/>
    <w:rsid w:val="003220D9"/>
    <w:rsid w:val="003224D3"/>
    <w:rsid w:val="0032256A"/>
    <w:rsid w:val="00324715"/>
    <w:rsid w:val="00325D58"/>
    <w:rsid w:val="003265AB"/>
    <w:rsid w:val="00332FEB"/>
    <w:rsid w:val="00333B8A"/>
    <w:rsid w:val="00336020"/>
    <w:rsid w:val="0033627B"/>
    <w:rsid w:val="003375AF"/>
    <w:rsid w:val="00344A24"/>
    <w:rsid w:val="00344E4D"/>
    <w:rsid w:val="00346E3C"/>
    <w:rsid w:val="003503DE"/>
    <w:rsid w:val="003513B1"/>
    <w:rsid w:val="00352CE9"/>
    <w:rsid w:val="003534DF"/>
    <w:rsid w:val="00355384"/>
    <w:rsid w:val="0035656A"/>
    <w:rsid w:val="003623AF"/>
    <w:rsid w:val="00364802"/>
    <w:rsid w:val="0036651D"/>
    <w:rsid w:val="00366B85"/>
    <w:rsid w:val="00371023"/>
    <w:rsid w:val="00371A10"/>
    <w:rsid w:val="00373B8A"/>
    <w:rsid w:val="00374D22"/>
    <w:rsid w:val="0038077B"/>
    <w:rsid w:val="00386392"/>
    <w:rsid w:val="00386722"/>
    <w:rsid w:val="00393130"/>
    <w:rsid w:val="00393880"/>
    <w:rsid w:val="003948CF"/>
    <w:rsid w:val="003A0479"/>
    <w:rsid w:val="003A3353"/>
    <w:rsid w:val="003A4639"/>
    <w:rsid w:val="003A50D2"/>
    <w:rsid w:val="003A5986"/>
    <w:rsid w:val="003A617E"/>
    <w:rsid w:val="003B047B"/>
    <w:rsid w:val="003B2363"/>
    <w:rsid w:val="003B448E"/>
    <w:rsid w:val="003B5467"/>
    <w:rsid w:val="003B622D"/>
    <w:rsid w:val="003C0B6E"/>
    <w:rsid w:val="003C1A52"/>
    <w:rsid w:val="003C44E8"/>
    <w:rsid w:val="003C4EEF"/>
    <w:rsid w:val="003C5053"/>
    <w:rsid w:val="003C6956"/>
    <w:rsid w:val="003D61EE"/>
    <w:rsid w:val="003D6DE1"/>
    <w:rsid w:val="003E1D7E"/>
    <w:rsid w:val="003E7A57"/>
    <w:rsid w:val="003F1AD2"/>
    <w:rsid w:val="003F595E"/>
    <w:rsid w:val="003F6678"/>
    <w:rsid w:val="003F7541"/>
    <w:rsid w:val="003F7F84"/>
    <w:rsid w:val="004015DC"/>
    <w:rsid w:val="00402916"/>
    <w:rsid w:val="00402A4F"/>
    <w:rsid w:val="00404FB1"/>
    <w:rsid w:val="004068F8"/>
    <w:rsid w:val="00406FA8"/>
    <w:rsid w:val="00410C15"/>
    <w:rsid w:val="00412359"/>
    <w:rsid w:val="004148E9"/>
    <w:rsid w:val="00415A89"/>
    <w:rsid w:val="00415B72"/>
    <w:rsid w:val="004220F7"/>
    <w:rsid w:val="004242AC"/>
    <w:rsid w:val="00426CE7"/>
    <w:rsid w:val="004273A3"/>
    <w:rsid w:val="00427465"/>
    <w:rsid w:val="00430719"/>
    <w:rsid w:val="00430CF1"/>
    <w:rsid w:val="004321CE"/>
    <w:rsid w:val="00434DBF"/>
    <w:rsid w:val="0043719C"/>
    <w:rsid w:val="0044167C"/>
    <w:rsid w:val="004426DD"/>
    <w:rsid w:val="004449CB"/>
    <w:rsid w:val="004456C7"/>
    <w:rsid w:val="00446223"/>
    <w:rsid w:val="0044648F"/>
    <w:rsid w:val="00447597"/>
    <w:rsid w:val="004505CD"/>
    <w:rsid w:val="00450A4A"/>
    <w:rsid w:val="00451E99"/>
    <w:rsid w:val="00455723"/>
    <w:rsid w:val="004604EB"/>
    <w:rsid w:val="00460A5E"/>
    <w:rsid w:val="00462851"/>
    <w:rsid w:val="00462AD5"/>
    <w:rsid w:val="004646FC"/>
    <w:rsid w:val="004651DB"/>
    <w:rsid w:val="00473BFB"/>
    <w:rsid w:val="0047619C"/>
    <w:rsid w:val="00477EB8"/>
    <w:rsid w:val="00480B8C"/>
    <w:rsid w:val="004904E8"/>
    <w:rsid w:val="00492938"/>
    <w:rsid w:val="00495D7A"/>
    <w:rsid w:val="00495F82"/>
    <w:rsid w:val="00497555"/>
    <w:rsid w:val="00497911"/>
    <w:rsid w:val="004A1A99"/>
    <w:rsid w:val="004A227F"/>
    <w:rsid w:val="004A3F8E"/>
    <w:rsid w:val="004A41C7"/>
    <w:rsid w:val="004A4B8A"/>
    <w:rsid w:val="004A563E"/>
    <w:rsid w:val="004A6607"/>
    <w:rsid w:val="004B0FC3"/>
    <w:rsid w:val="004B1A97"/>
    <w:rsid w:val="004B39B8"/>
    <w:rsid w:val="004B4396"/>
    <w:rsid w:val="004B4F66"/>
    <w:rsid w:val="004B5C6D"/>
    <w:rsid w:val="004B62BC"/>
    <w:rsid w:val="004B66C6"/>
    <w:rsid w:val="004B73D7"/>
    <w:rsid w:val="004C4A9C"/>
    <w:rsid w:val="004C5633"/>
    <w:rsid w:val="004C5A8A"/>
    <w:rsid w:val="004C65F3"/>
    <w:rsid w:val="004D38DD"/>
    <w:rsid w:val="004D3E9A"/>
    <w:rsid w:val="004D45F5"/>
    <w:rsid w:val="004D573A"/>
    <w:rsid w:val="004D5ABF"/>
    <w:rsid w:val="004D7E89"/>
    <w:rsid w:val="004E01E8"/>
    <w:rsid w:val="004E2B9B"/>
    <w:rsid w:val="004E39CE"/>
    <w:rsid w:val="004E5781"/>
    <w:rsid w:val="004E68CD"/>
    <w:rsid w:val="004E736E"/>
    <w:rsid w:val="004F0382"/>
    <w:rsid w:val="004F0C7B"/>
    <w:rsid w:val="004F12B8"/>
    <w:rsid w:val="004F1968"/>
    <w:rsid w:val="004F4BED"/>
    <w:rsid w:val="004F5FF3"/>
    <w:rsid w:val="004F72CB"/>
    <w:rsid w:val="005004AF"/>
    <w:rsid w:val="005013D4"/>
    <w:rsid w:val="005016F5"/>
    <w:rsid w:val="00501FFA"/>
    <w:rsid w:val="00503280"/>
    <w:rsid w:val="00503F52"/>
    <w:rsid w:val="00513CC9"/>
    <w:rsid w:val="0051446B"/>
    <w:rsid w:val="005167B9"/>
    <w:rsid w:val="005179D9"/>
    <w:rsid w:val="00520719"/>
    <w:rsid w:val="0052079E"/>
    <w:rsid w:val="005222C4"/>
    <w:rsid w:val="00522ABB"/>
    <w:rsid w:val="00522FEA"/>
    <w:rsid w:val="00524111"/>
    <w:rsid w:val="005248E5"/>
    <w:rsid w:val="00526270"/>
    <w:rsid w:val="0053607A"/>
    <w:rsid w:val="00536ED9"/>
    <w:rsid w:val="00540F30"/>
    <w:rsid w:val="00542165"/>
    <w:rsid w:val="005443DB"/>
    <w:rsid w:val="00547453"/>
    <w:rsid w:val="005507E0"/>
    <w:rsid w:val="00562987"/>
    <w:rsid w:val="00565F90"/>
    <w:rsid w:val="005702CC"/>
    <w:rsid w:val="0057065D"/>
    <w:rsid w:val="00570A42"/>
    <w:rsid w:val="00571C11"/>
    <w:rsid w:val="005754E8"/>
    <w:rsid w:val="00576323"/>
    <w:rsid w:val="00576CED"/>
    <w:rsid w:val="0058046D"/>
    <w:rsid w:val="005838D8"/>
    <w:rsid w:val="00593A6D"/>
    <w:rsid w:val="0059468E"/>
    <w:rsid w:val="005972F0"/>
    <w:rsid w:val="005A0A07"/>
    <w:rsid w:val="005A653C"/>
    <w:rsid w:val="005A759D"/>
    <w:rsid w:val="005A7E9C"/>
    <w:rsid w:val="005A7F75"/>
    <w:rsid w:val="005B1FF0"/>
    <w:rsid w:val="005B2413"/>
    <w:rsid w:val="005B2BCF"/>
    <w:rsid w:val="005B342D"/>
    <w:rsid w:val="005B3796"/>
    <w:rsid w:val="005B4564"/>
    <w:rsid w:val="005B73D0"/>
    <w:rsid w:val="005C197C"/>
    <w:rsid w:val="005C2D04"/>
    <w:rsid w:val="005C37F0"/>
    <w:rsid w:val="005C5233"/>
    <w:rsid w:val="005C5AAD"/>
    <w:rsid w:val="005C7D80"/>
    <w:rsid w:val="005D2193"/>
    <w:rsid w:val="005D39DD"/>
    <w:rsid w:val="005D507E"/>
    <w:rsid w:val="005D5745"/>
    <w:rsid w:val="005E019E"/>
    <w:rsid w:val="005E273D"/>
    <w:rsid w:val="005E5C3C"/>
    <w:rsid w:val="005F251C"/>
    <w:rsid w:val="005F35EA"/>
    <w:rsid w:val="005F4FC0"/>
    <w:rsid w:val="005F5B63"/>
    <w:rsid w:val="005F6721"/>
    <w:rsid w:val="005F7477"/>
    <w:rsid w:val="0060166E"/>
    <w:rsid w:val="0060281F"/>
    <w:rsid w:val="00603201"/>
    <w:rsid w:val="00603533"/>
    <w:rsid w:val="0060611B"/>
    <w:rsid w:val="00607092"/>
    <w:rsid w:val="0060742C"/>
    <w:rsid w:val="00610254"/>
    <w:rsid w:val="006109E1"/>
    <w:rsid w:val="0061376C"/>
    <w:rsid w:val="0061505A"/>
    <w:rsid w:val="00620672"/>
    <w:rsid w:val="006207E8"/>
    <w:rsid w:val="0062089F"/>
    <w:rsid w:val="00621CCB"/>
    <w:rsid w:val="0062211B"/>
    <w:rsid w:val="006222A0"/>
    <w:rsid w:val="00622D75"/>
    <w:rsid w:val="00623A1A"/>
    <w:rsid w:val="006243DA"/>
    <w:rsid w:val="006273A8"/>
    <w:rsid w:val="00627A9A"/>
    <w:rsid w:val="00630464"/>
    <w:rsid w:val="00630B56"/>
    <w:rsid w:val="00631B4C"/>
    <w:rsid w:val="00631F7B"/>
    <w:rsid w:val="0063596F"/>
    <w:rsid w:val="006429EB"/>
    <w:rsid w:val="00643ABC"/>
    <w:rsid w:val="00643B78"/>
    <w:rsid w:val="00647B50"/>
    <w:rsid w:val="00650C2D"/>
    <w:rsid w:val="00651FC4"/>
    <w:rsid w:val="0065666A"/>
    <w:rsid w:val="00656F21"/>
    <w:rsid w:val="00657D7F"/>
    <w:rsid w:val="00657D88"/>
    <w:rsid w:val="0066082F"/>
    <w:rsid w:val="00661063"/>
    <w:rsid w:val="00661B66"/>
    <w:rsid w:val="0066461E"/>
    <w:rsid w:val="00664B7C"/>
    <w:rsid w:val="00664ED5"/>
    <w:rsid w:val="006662D4"/>
    <w:rsid w:val="00666C52"/>
    <w:rsid w:val="006671FD"/>
    <w:rsid w:val="006707B1"/>
    <w:rsid w:val="006814A8"/>
    <w:rsid w:val="00681C04"/>
    <w:rsid w:val="006837C6"/>
    <w:rsid w:val="0068438E"/>
    <w:rsid w:val="00685F24"/>
    <w:rsid w:val="00686C6F"/>
    <w:rsid w:val="0068752D"/>
    <w:rsid w:val="0069201C"/>
    <w:rsid w:val="00693298"/>
    <w:rsid w:val="00696319"/>
    <w:rsid w:val="006A0851"/>
    <w:rsid w:val="006A1F8E"/>
    <w:rsid w:val="006A2224"/>
    <w:rsid w:val="006A27DE"/>
    <w:rsid w:val="006A2861"/>
    <w:rsid w:val="006A4455"/>
    <w:rsid w:val="006A5497"/>
    <w:rsid w:val="006B3FEB"/>
    <w:rsid w:val="006B45E9"/>
    <w:rsid w:val="006C3DA4"/>
    <w:rsid w:val="006C5B12"/>
    <w:rsid w:val="006D1C7F"/>
    <w:rsid w:val="006D4A3B"/>
    <w:rsid w:val="006D50D2"/>
    <w:rsid w:val="006D6331"/>
    <w:rsid w:val="006D7941"/>
    <w:rsid w:val="006D7F76"/>
    <w:rsid w:val="006E086B"/>
    <w:rsid w:val="006E3C01"/>
    <w:rsid w:val="006E3DE1"/>
    <w:rsid w:val="006E6E77"/>
    <w:rsid w:val="006E7114"/>
    <w:rsid w:val="006F0A63"/>
    <w:rsid w:val="006F274A"/>
    <w:rsid w:val="006F5D2E"/>
    <w:rsid w:val="006F734E"/>
    <w:rsid w:val="006F7E79"/>
    <w:rsid w:val="00700C77"/>
    <w:rsid w:val="00703265"/>
    <w:rsid w:val="00703669"/>
    <w:rsid w:val="007044B2"/>
    <w:rsid w:val="007066B4"/>
    <w:rsid w:val="007129E2"/>
    <w:rsid w:val="00714164"/>
    <w:rsid w:val="007151A4"/>
    <w:rsid w:val="00716120"/>
    <w:rsid w:val="00717323"/>
    <w:rsid w:val="007234BD"/>
    <w:rsid w:val="007242E6"/>
    <w:rsid w:val="007248BD"/>
    <w:rsid w:val="00725137"/>
    <w:rsid w:val="00726083"/>
    <w:rsid w:val="007313E2"/>
    <w:rsid w:val="00732902"/>
    <w:rsid w:val="007339AD"/>
    <w:rsid w:val="007358DD"/>
    <w:rsid w:val="00737886"/>
    <w:rsid w:val="007402B8"/>
    <w:rsid w:val="007404EA"/>
    <w:rsid w:val="0074079F"/>
    <w:rsid w:val="00742DD2"/>
    <w:rsid w:val="007449B6"/>
    <w:rsid w:val="00744D8A"/>
    <w:rsid w:val="00745301"/>
    <w:rsid w:val="007459DA"/>
    <w:rsid w:val="00745F8C"/>
    <w:rsid w:val="00746BC1"/>
    <w:rsid w:val="007500BD"/>
    <w:rsid w:val="007502C9"/>
    <w:rsid w:val="0075226B"/>
    <w:rsid w:val="00752629"/>
    <w:rsid w:val="00752C1A"/>
    <w:rsid w:val="00753B72"/>
    <w:rsid w:val="00757DA0"/>
    <w:rsid w:val="00762373"/>
    <w:rsid w:val="007653B4"/>
    <w:rsid w:val="00766C58"/>
    <w:rsid w:val="0077225F"/>
    <w:rsid w:val="007726BC"/>
    <w:rsid w:val="00772E2C"/>
    <w:rsid w:val="00776348"/>
    <w:rsid w:val="007818D0"/>
    <w:rsid w:val="00785600"/>
    <w:rsid w:val="00786DAD"/>
    <w:rsid w:val="00787425"/>
    <w:rsid w:val="007904FC"/>
    <w:rsid w:val="007908FE"/>
    <w:rsid w:val="00790C47"/>
    <w:rsid w:val="00790C7A"/>
    <w:rsid w:val="00793B28"/>
    <w:rsid w:val="00793CDA"/>
    <w:rsid w:val="00797215"/>
    <w:rsid w:val="007A43EA"/>
    <w:rsid w:val="007A4B26"/>
    <w:rsid w:val="007A637E"/>
    <w:rsid w:val="007B400B"/>
    <w:rsid w:val="007C4AC8"/>
    <w:rsid w:val="007C6B20"/>
    <w:rsid w:val="007D2C95"/>
    <w:rsid w:val="007D3222"/>
    <w:rsid w:val="007D4B45"/>
    <w:rsid w:val="007D50F6"/>
    <w:rsid w:val="007D5F1B"/>
    <w:rsid w:val="007E2308"/>
    <w:rsid w:val="007E3997"/>
    <w:rsid w:val="007E4F21"/>
    <w:rsid w:val="007E5B75"/>
    <w:rsid w:val="007F29A8"/>
    <w:rsid w:val="007F3D89"/>
    <w:rsid w:val="007F4E75"/>
    <w:rsid w:val="00801FCF"/>
    <w:rsid w:val="00803073"/>
    <w:rsid w:val="0080347B"/>
    <w:rsid w:val="00807200"/>
    <w:rsid w:val="008118CA"/>
    <w:rsid w:val="00811C91"/>
    <w:rsid w:val="0081467F"/>
    <w:rsid w:val="00816F7D"/>
    <w:rsid w:val="0081728D"/>
    <w:rsid w:val="0082185D"/>
    <w:rsid w:val="00822A18"/>
    <w:rsid w:val="00824578"/>
    <w:rsid w:val="0083113F"/>
    <w:rsid w:val="008323D6"/>
    <w:rsid w:val="0083270B"/>
    <w:rsid w:val="00833E32"/>
    <w:rsid w:val="00834808"/>
    <w:rsid w:val="008367CF"/>
    <w:rsid w:val="00836A3B"/>
    <w:rsid w:val="00837AA2"/>
    <w:rsid w:val="00837DA3"/>
    <w:rsid w:val="00841240"/>
    <w:rsid w:val="00842189"/>
    <w:rsid w:val="00843B43"/>
    <w:rsid w:val="00843FEB"/>
    <w:rsid w:val="0084542F"/>
    <w:rsid w:val="00852281"/>
    <w:rsid w:val="008524BE"/>
    <w:rsid w:val="00854DF0"/>
    <w:rsid w:val="0086078E"/>
    <w:rsid w:val="00861EB7"/>
    <w:rsid w:val="00862108"/>
    <w:rsid w:val="008640FA"/>
    <w:rsid w:val="00864284"/>
    <w:rsid w:val="00864BF7"/>
    <w:rsid w:val="0086514D"/>
    <w:rsid w:val="00865CE4"/>
    <w:rsid w:val="00871C3F"/>
    <w:rsid w:val="00872AB8"/>
    <w:rsid w:val="00872F6D"/>
    <w:rsid w:val="008747DA"/>
    <w:rsid w:val="008778BE"/>
    <w:rsid w:val="00880623"/>
    <w:rsid w:val="00880E29"/>
    <w:rsid w:val="008839D8"/>
    <w:rsid w:val="00883BCC"/>
    <w:rsid w:val="008844E1"/>
    <w:rsid w:val="008851AC"/>
    <w:rsid w:val="00886F3D"/>
    <w:rsid w:val="00890A5E"/>
    <w:rsid w:val="00890E5E"/>
    <w:rsid w:val="0089184F"/>
    <w:rsid w:val="00891A02"/>
    <w:rsid w:val="00895718"/>
    <w:rsid w:val="008A06CA"/>
    <w:rsid w:val="008A3AD6"/>
    <w:rsid w:val="008A4807"/>
    <w:rsid w:val="008A5114"/>
    <w:rsid w:val="008A7DEE"/>
    <w:rsid w:val="008B3442"/>
    <w:rsid w:val="008B53AC"/>
    <w:rsid w:val="008C0134"/>
    <w:rsid w:val="008C2CBC"/>
    <w:rsid w:val="008C35FC"/>
    <w:rsid w:val="008D1982"/>
    <w:rsid w:val="008D1B26"/>
    <w:rsid w:val="008D318C"/>
    <w:rsid w:val="008D439F"/>
    <w:rsid w:val="008D5022"/>
    <w:rsid w:val="008D67A1"/>
    <w:rsid w:val="008E0EB1"/>
    <w:rsid w:val="008E2BB0"/>
    <w:rsid w:val="008E3545"/>
    <w:rsid w:val="008E3EEF"/>
    <w:rsid w:val="008F0347"/>
    <w:rsid w:val="008F10ED"/>
    <w:rsid w:val="008F2485"/>
    <w:rsid w:val="008F27A3"/>
    <w:rsid w:val="008F3F47"/>
    <w:rsid w:val="008F61B3"/>
    <w:rsid w:val="008F635A"/>
    <w:rsid w:val="008F6A0A"/>
    <w:rsid w:val="008F7BCC"/>
    <w:rsid w:val="008F7F26"/>
    <w:rsid w:val="009019B7"/>
    <w:rsid w:val="00904AED"/>
    <w:rsid w:val="00904D52"/>
    <w:rsid w:val="00904E67"/>
    <w:rsid w:val="0090507F"/>
    <w:rsid w:val="00905CAE"/>
    <w:rsid w:val="00906F9E"/>
    <w:rsid w:val="00907347"/>
    <w:rsid w:val="00910624"/>
    <w:rsid w:val="0091633A"/>
    <w:rsid w:val="00920658"/>
    <w:rsid w:val="00926FF5"/>
    <w:rsid w:val="00930896"/>
    <w:rsid w:val="00932E39"/>
    <w:rsid w:val="0093321B"/>
    <w:rsid w:val="009337FC"/>
    <w:rsid w:val="00933996"/>
    <w:rsid w:val="00937D99"/>
    <w:rsid w:val="00940D22"/>
    <w:rsid w:val="00942F7C"/>
    <w:rsid w:val="0094327D"/>
    <w:rsid w:val="00944B7E"/>
    <w:rsid w:val="00945CAD"/>
    <w:rsid w:val="00947BE0"/>
    <w:rsid w:val="0095257B"/>
    <w:rsid w:val="00952F58"/>
    <w:rsid w:val="00953583"/>
    <w:rsid w:val="009555CA"/>
    <w:rsid w:val="0095586A"/>
    <w:rsid w:val="00955ED8"/>
    <w:rsid w:val="00956EA1"/>
    <w:rsid w:val="009574D4"/>
    <w:rsid w:val="00957C45"/>
    <w:rsid w:val="0096083E"/>
    <w:rsid w:val="009649AA"/>
    <w:rsid w:val="00965B3C"/>
    <w:rsid w:val="0096793E"/>
    <w:rsid w:val="00970B26"/>
    <w:rsid w:val="0097137B"/>
    <w:rsid w:val="00973283"/>
    <w:rsid w:val="009734B0"/>
    <w:rsid w:val="0098556B"/>
    <w:rsid w:val="00987046"/>
    <w:rsid w:val="009874F3"/>
    <w:rsid w:val="00987918"/>
    <w:rsid w:val="0099040A"/>
    <w:rsid w:val="009942E9"/>
    <w:rsid w:val="00997057"/>
    <w:rsid w:val="00997901"/>
    <w:rsid w:val="009A22F5"/>
    <w:rsid w:val="009A4138"/>
    <w:rsid w:val="009A48F3"/>
    <w:rsid w:val="009A4AB2"/>
    <w:rsid w:val="009B029E"/>
    <w:rsid w:val="009B0C2B"/>
    <w:rsid w:val="009B1C49"/>
    <w:rsid w:val="009B1F88"/>
    <w:rsid w:val="009B63B7"/>
    <w:rsid w:val="009B7505"/>
    <w:rsid w:val="009B7C31"/>
    <w:rsid w:val="009C19B4"/>
    <w:rsid w:val="009D1317"/>
    <w:rsid w:val="009D39F1"/>
    <w:rsid w:val="009D439B"/>
    <w:rsid w:val="009D46F8"/>
    <w:rsid w:val="009D4AD8"/>
    <w:rsid w:val="009D63B9"/>
    <w:rsid w:val="009D792E"/>
    <w:rsid w:val="009E09A0"/>
    <w:rsid w:val="009E0A0F"/>
    <w:rsid w:val="009E1503"/>
    <w:rsid w:val="009E2D33"/>
    <w:rsid w:val="009E3400"/>
    <w:rsid w:val="009E399F"/>
    <w:rsid w:val="009E4906"/>
    <w:rsid w:val="009E5421"/>
    <w:rsid w:val="009F1292"/>
    <w:rsid w:val="009F1B9E"/>
    <w:rsid w:val="009F25F7"/>
    <w:rsid w:val="009F328C"/>
    <w:rsid w:val="009F458E"/>
    <w:rsid w:val="009F48FD"/>
    <w:rsid w:val="009F4B57"/>
    <w:rsid w:val="009F592E"/>
    <w:rsid w:val="009F5CC9"/>
    <w:rsid w:val="00A00DEB"/>
    <w:rsid w:val="00A01247"/>
    <w:rsid w:val="00A018D8"/>
    <w:rsid w:val="00A01D42"/>
    <w:rsid w:val="00A033A4"/>
    <w:rsid w:val="00A078BC"/>
    <w:rsid w:val="00A10859"/>
    <w:rsid w:val="00A12951"/>
    <w:rsid w:val="00A13809"/>
    <w:rsid w:val="00A138B3"/>
    <w:rsid w:val="00A1507C"/>
    <w:rsid w:val="00A17B68"/>
    <w:rsid w:val="00A20C8E"/>
    <w:rsid w:val="00A21DA4"/>
    <w:rsid w:val="00A23F27"/>
    <w:rsid w:val="00A25020"/>
    <w:rsid w:val="00A25FAD"/>
    <w:rsid w:val="00A31340"/>
    <w:rsid w:val="00A31604"/>
    <w:rsid w:val="00A32343"/>
    <w:rsid w:val="00A32689"/>
    <w:rsid w:val="00A32D3B"/>
    <w:rsid w:val="00A3310F"/>
    <w:rsid w:val="00A34DFA"/>
    <w:rsid w:val="00A36B3C"/>
    <w:rsid w:val="00A40C37"/>
    <w:rsid w:val="00A40F6A"/>
    <w:rsid w:val="00A41580"/>
    <w:rsid w:val="00A42EC2"/>
    <w:rsid w:val="00A42F5D"/>
    <w:rsid w:val="00A437FB"/>
    <w:rsid w:val="00A45202"/>
    <w:rsid w:val="00A475B4"/>
    <w:rsid w:val="00A50B33"/>
    <w:rsid w:val="00A51E2A"/>
    <w:rsid w:val="00A56C25"/>
    <w:rsid w:val="00A627A1"/>
    <w:rsid w:val="00A65260"/>
    <w:rsid w:val="00A66D4C"/>
    <w:rsid w:val="00A70D25"/>
    <w:rsid w:val="00A71CE5"/>
    <w:rsid w:val="00A75F36"/>
    <w:rsid w:val="00A76FB0"/>
    <w:rsid w:val="00A81F1D"/>
    <w:rsid w:val="00A827E0"/>
    <w:rsid w:val="00A8360A"/>
    <w:rsid w:val="00A85BF0"/>
    <w:rsid w:val="00A876CF"/>
    <w:rsid w:val="00A931A1"/>
    <w:rsid w:val="00A97F6F"/>
    <w:rsid w:val="00AA56B9"/>
    <w:rsid w:val="00AB013B"/>
    <w:rsid w:val="00AB3068"/>
    <w:rsid w:val="00AB466F"/>
    <w:rsid w:val="00AB4BC4"/>
    <w:rsid w:val="00AB60FE"/>
    <w:rsid w:val="00AB65A5"/>
    <w:rsid w:val="00AC1BA0"/>
    <w:rsid w:val="00AC470C"/>
    <w:rsid w:val="00AC550B"/>
    <w:rsid w:val="00AC7089"/>
    <w:rsid w:val="00AD0E46"/>
    <w:rsid w:val="00AD1D53"/>
    <w:rsid w:val="00AD2197"/>
    <w:rsid w:val="00AD2412"/>
    <w:rsid w:val="00AD2BB9"/>
    <w:rsid w:val="00AD42B2"/>
    <w:rsid w:val="00AD48E7"/>
    <w:rsid w:val="00AD5A2F"/>
    <w:rsid w:val="00AE1641"/>
    <w:rsid w:val="00AE1CFA"/>
    <w:rsid w:val="00AE22E7"/>
    <w:rsid w:val="00AE2C32"/>
    <w:rsid w:val="00AE4120"/>
    <w:rsid w:val="00AE47EE"/>
    <w:rsid w:val="00AE5EFB"/>
    <w:rsid w:val="00AE7EF8"/>
    <w:rsid w:val="00AF0295"/>
    <w:rsid w:val="00AF67A1"/>
    <w:rsid w:val="00B025E3"/>
    <w:rsid w:val="00B0671C"/>
    <w:rsid w:val="00B07F4A"/>
    <w:rsid w:val="00B12D27"/>
    <w:rsid w:val="00B15232"/>
    <w:rsid w:val="00B168C0"/>
    <w:rsid w:val="00B16FFD"/>
    <w:rsid w:val="00B177BA"/>
    <w:rsid w:val="00B1783C"/>
    <w:rsid w:val="00B17C0E"/>
    <w:rsid w:val="00B22233"/>
    <w:rsid w:val="00B26E11"/>
    <w:rsid w:val="00B300B1"/>
    <w:rsid w:val="00B309B7"/>
    <w:rsid w:val="00B30BF6"/>
    <w:rsid w:val="00B31583"/>
    <w:rsid w:val="00B31ECD"/>
    <w:rsid w:val="00B40414"/>
    <w:rsid w:val="00B460A5"/>
    <w:rsid w:val="00B50A01"/>
    <w:rsid w:val="00B51816"/>
    <w:rsid w:val="00B52F90"/>
    <w:rsid w:val="00B563B6"/>
    <w:rsid w:val="00B56DC3"/>
    <w:rsid w:val="00B57186"/>
    <w:rsid w:val="00B60F1A"/>
    <w:rsid w:val="00B62D13"/>
    <w:rsid w:val="00B64A72"/>
    <w:rsid w:val="00B65943"/>
    <w:rsid w:val="00B663F7"/>
    <w:rsid w:val="00B6700B"/>
    <w:rsid w:val="00B7110C"/>
    <w:rsid w:val="00B71D38"/>
    <w:rsid w:val="00B76B13"/>
    <w:rsid w:val="00B770F9"/>
    <w:rsid w:val="00B777B6"/>
    <w:rsid w:val="00B82C02"/>
    <w:rsid w:val="00B902D6"/>
    <w:rsid w:val="00B938AC"/>
    <w:rsid w:val="00B9403D"/>
    <w:rsid w:val="00B9675E"/>
    <w:rsid w:val="00BA155E"/>
    <w:rsid w:val="00BA1E03"/>
    <w:rsid w:val="00BA2BAF"/>
    <w:rsid w:val="00BA4BA8"/>
    <w:rsid w:val="00BB12EF"/>
    <w:rsid w:val="00BB2CD8"/>
    <w:rsid w:val="00BB38F3"/>
    <w:rsid w:val="00BB4E0E"/>
    <w:rsid w:val="00BB6F94"/>
    <w:rsid w:val="00BB77D7"/>
    <w:rsid w:val="00BC078A"/>
    <w:rsid w:val="00BC1252"/>
    <w:rsid w:val="00BC3042"/>
    <w:rsid w:val="00BC44C1"/>
    <w:rsid w:val="00BC6048"/>
    <w:rsid w:val="00BC6694"/>
    <w:rsid w:val="00BC7ADF"/>
    <w:rsid w:val="00BD1246"/>
    <w:rsid w:val="00BD1B59"/>
    <w:rsid w:val="00BD60E4"/>
    <w:rsid w:val="00BD6CD4"/>
    <w:rsid w:val="00BD7714"/>
    <w:rsid w:val="00BE1819"/>
    <w:rsid w:val="00BE1FF1"/>
    <w:rsid w:val="00BE2663"/>
    <w:rsid w:val="00BE2DFB"/>
    <w:rsid w:val="00BE7C22"/>
    <w:rsid w:val="00BF013E"/>
    <w:rsid w:val="00BF01B5"/>
    <w:rsid w:val="00BF333A"/>
    <w:rsid w:val="00BF385C"/>
    <w:rsid w:val="00BF706A"/>
    <w:rsid w:val="00C002CE"/>
    <w:rsid w:val="00C048AD"/>
    <w:rsid w:val="00C07973"/>
    <w:rsid w:val="00C07985"/>
    <w:rsid w:val="00C119F8"/>
    <w:rsid w:val="00C11A51"/>
    <w:rsid w:val="00C145EE"/>
    <w:rsid w:val="00C17704"/>
    <w:rsid w:val="00C17DED"/>
    <w:rsid w:val="00C2356C"/>
    <w:rsid w:val="00C243D9"/>
    <w:rsid w:val="00C24D23"/>
    <w:rsid w:val="00C25F2E"/>
    <w:rsid w:val="00C26C51"/>
    <w:rsid w:val="00C31734"/>
    <w:rsid w:val="00C32753"/>
    <w:rsid w:val="00C341B5"/>
    <w:rsid w:val="00C36C23"/>
    <w:rsid w:val="00C45C17"/>
    <w:rsid w:val="00C462C5"/>
    <w:rsid w:val="00C46385"/>
    <w:rsid w:val="00C56DD7"/>
    <w:rsid w:val="00C56E41"/>
    <w:rsid w:val="00C61DF4"/>
    <w:rsid w:val="00C6416F"/>
    <w:rsid w:val="00C647F6"/>
    <w:rsid w:val="00C65BDA"/>
    <w:rsid w:val="00C67738"/>
    <w:rsid w:val="00C71135"/>
    <w:rsid w:val="00C73BDD"/>
    <w:rsid w:val="00C74FDA"/>
    <w:rsid w:val="00C76084"/>
    <w:rsid w:val="00C83BE5"/>
    <w:rsid w:val="00C85177"/>
    <w:rsid w:val="00C86FF8"/>
    <w:rsid w:val="00C87A39"/>
    <w:rsid w:val="00C902B8"/>
    <w:rsid w:val="00C92767"/>
    <w:rsid w:val="00C94C6A"/>
    <w:rsid w:val="00C967C1"/>
    <w:rsid w:val="00C96B48"/>
    <w:rsid w:val="00C97220"/>
    <w:rsid w:val="00C97DDB"/>
    <w:rsid w:val="00CA01CA"/>
    <w:rsid w:val="00CA246C"/>
    <w:rsid w:val="00CA2640"/>
    <w:rsid w:val="00CA2DDD"/>
    <w:rsid w:val="00CA3974"/>
    <w:rsid w:val="00CA50F8"/>
    <w:rsid w:val="00CA5227"/>
    <w:rsid w:val="00CA609A"/>
    <w:rsid w:val="00CA755F"/>
    <w:rsid w:val="00CB2461"/>
    <w:rsid w:val="00CB259C"/>
    <w:rsid w:val="00CB5852"/>
    <w:rsid w:val="00CB5AD4"/>
    <w:rsid w:val="00CB7093"/>
    <w:rsid w:val="00CB7AC6"/>
    <w:rsid w:val="00CC0847"/>
    <w:rsid w:val="00CC1981"/>
    <w:rsid w:val="00CC38CC"/>
    <w:rsid w:val="00CC3DA6"/>
    <w:rsid w:val="00CC3E8D"/>
    <w:rsid w:val="00CC457E"/>
    <w:rsid w:val="00CC6B45"/>
    <w:rsid w:val="00CC7329"/>
    <w:rsid w:val="00CC7AEA"/>
    <w:rsid w:val="00CD02A9"/>
    <w:rsid w:val="00CD0C9C"/>
    <w:rsid w:val="00CD22DA"/>
    <w:rsid w:val="00CD36C8"/>
    <w:rsid w:val="00CD3B8A"/>
    <w:rsid w:val="00CD477F"/>
    <w:rsid w:val="00CD5111"/>
    <w:rsid w:val="00CD7268"/>
    <w:rsid w:val="00CE361D"/>
    <w:rsid w:val="00CE41E0"/>
    <w:rsid w:val="00CE61E8"/>
    <w:rsid w:val="00CE6368"/>
    <w:rsid w:val="00CF03D6"/>
    <w:rsid w:val="00CF09D8"/>
    <w:rsid w:val="00CF1A77"/>
    <w:rsid w:val="00CF53BE"/>
    <w:rsid w:val="00CF7AEA"/>
    <w:rsid w:val="00D02B3A"/>
    <w:rsid w:val="00D03603"/>
    <w:rsid w:val="00D040D9"/>
    <w:rsid w:val="00D054E7"/>
    <w:rsid w:val="00D1005E"/>
    <w:rsid w:val="00D106CB"/>
    <w:rsid w:val="00D1136F"/>
    <w:rsid w:val="00D13D94"/>
    <w:rsid w:val="00D1483E"/>
    <w:rsid w:val="00D14C0A"/>
    <w:rsid w:val="00D15A1C"/>
    <w:rsid w:val="00D16244"/>
    <w:rsid w:val="00D16F66"/>
    <w:rsid w:val="00D16F97"/>
    <w:rsid w:val="00D20D84"/>
    <w:rsid w:val="00D218CE"/>
    <w:rsid w:val="00D222EC"/>
    <w:rsid w:val="00D27B99"/>
    <w:rsid w:val="00D3162A"/>
    <w:rsid w:val="00D31757"/>
    <w:rsid w:val="00D32804"/>
    <w:rsid w:val="00D3584D"/>
    <w:rsid w:val="00D358D0"/>
    <w:rsid w:val="00D35B0F"/>
    <w:rsid w:val="00D36730"/>
    <w:rsid w:val="00D36F6D"/>
    <w:rsid w:val="00D37885"/>
    <w:rsid w:val="00D411BE"/>
    <w:rsid w:val="00D43E75"/>
    <w:rsid w:val="00D44A00"/>
    <w:rsid w:val="00D51060"/>
    <w:rsid w:val="00D519EE"/>
    <w:rsid w:val="00D5286C"/>
    <w:rsid w:val="00D54A2B"/>
    <w:rsid w:val="00D56802"/>
    <w:rsid w:val="00D60698"/>
    <w:rsid w:val="00D61C2A"/>
    <w:rsid w:val="00D6262F"/>
    <w:rsid w:val="00D629BD"/>
    <w:rsid w:val="00D64E02"/>
    <w:rsid w:val="00D66CB3"/>
    <w:rsid w:val="00D700CD"/>
    <w:rsid w:val="00D70852"/>
    <w:rsid w:val="00D71845"/>
    <w:rsid w:val="00D76AA4"/>
    <w:rsid w:val="00D76C7B"/>
    <w:rsid w:val="00D77310"/>
    <w:rsid w:val="00D84B28"/>
    <w:rsid w:val="00D876F8"/>
    <w:rsid w:val="00D919CB"/>
    <w:rsid w:val="00D96D39"/>
    <w:rsid w:val="00DA12DD"/>
    <w:rsid w:val="00DA22E7"/>
    <w:rsid w:val="00DA3F6B"/>
    <w:rsid w:val="00DA49CD"/>
    <w:rsid w:val="00DA5F92"/>
    <w:rsid w:val="00DA66AB"/>
    <w:rsid w:val="00DA6722"/>
    <w:rsid w:val="00DB1CF5"/>
    <w:rsid w:val="00DB20BE"/>
    <w:rsid w:val="00DB280F"/>
    <w:rsid w:val="00DB3B4A"/>
    <w:rsid w:val="00DB7D3B"/>
    <w:rsid w:val="00DC0F14"/>
    <w:rsid w:val="00DC1653"/>
    <w:rsid w:val="00DC2E86"/>
    <w:rsid w:val="00DC32A7"/>
    <w:rsid w:val="00DC34D2"/>
    <w:rsid w:val="00DC3539"/>
    <w:rsid w:val="00DC4F75"/>
    <w:rsid w:val="00DC71EE"/>
    <w:rsid w:val="00DD0879"/>
    <w:rsid w:val="00DD0B08"/>
    <w:rsid w:val="00DD1586"/>
    <w:rsid w:val="00DD23D8"/>
    <w:rsid w:val="00DD3E7D"/>
    <w:rsid w:val="00DE04D7"/>
    <w:rsid w:val="00DE0D7C"/>
    <w:rsid w:val="00DE13F3"/>
    <w:rsid w:val="00DE3BC9"/>
    <w:rsid w:val="00DE5604"/>
    <w:rsid w:val="00DF19D4"/>
    <w:rsid w:val="00DF271B"/>
    <w:rsid w:val="00DF5B29"/>
    <w:rsid w:val="00DF74AB"/>
    <w:rsid w:val="00E001A6"/>
    <w:rsid w:val="00E01279"/>
    <w:rsid w:val="00E03389"/>
    <w:rsid w:val="00E05312"/>
    <w:rsid w:val="00E10DEF"/>
    <w:rsid w:val="00E1261B"/>
    <w:rsid w:val="00E14967"/>
    <w:rsid w:val="00E168FA"/>
    <w:rsid w:val="00E21F56"/>
    <w:rsid w:val="00E234B2"/>
    <w:rsid w:val="00E23A77"/>
    <w:rsid w:val="00E248F7"/>
    <w:rsid w:val="00E26311"/>
    <w:rsid w:val="00E336F5"/>
    <w:rsid w:val="00E3379A"/>
    <w:rsid w:val="00E4114E"/>
    <w:rsid w:val="00E4129E"/>
    <w:rsid w:val="00E41705"/>
    <w:rsid w:val="00E42B4C"/>
    <w:rsid w:val="00E43158"/>
    <w:rsid w:val="00E45674"/>
    <w:rsid w:val="00E47532"/>
    <w:rsid w:val="00E50554"/>
    <w:rsid w:val="00E5116F"/>
    <w:rsid w:val="00E541A5"/>
    <w:rsid w:val="00E5710D"/>
    <w:rsid w:val="00E57A03"/>
    <w:rsid w:val="00E57BE6"/>
    <w:rsid w:val="00E61950"/>
    <w:rsid w:val="00E65054"/>
    <w:rsid w:val="00E710E7"/>
    <w:rsid w:val="00E722C3"/>
    <w:rsid w:val="00E72E16"/>
    <w:rsid w:val="00E73BEB"/>
    <w:rsid w:val="00E73DCD"/>
    <w:rsid w:val="00E742DD"/>
    <w:rsid w:val="00E76734"/>
    <w:rsid w:val="00E76C76"/>
    <w:rsid w:val="00E82593"/>
    <w:rsid w:val="00E82F66"/>
    <w:rsid w:val="00E9042A"/>
    <w:rsid w:val="00E9501D"/>
    <w:rsid w:val="00E96CC7"/>
    <w:rsid w:val="00E9704A"/>
    <w:rsid w:val="00E97745"/>
    <w:rsid w:val="00EA1112"/>
    <w:rsid w:val="00EA4789"/>
    <w:rsid w:val="00EA6F9F"/>
    <w:rsid w:val="00EB3865"/>
    <w:rsid w:val="00EB3B24"/>
    <w:rsid w:val="00EB5A20"/>
    <w:rsid w:val="00EC10B7"/>
    <w:rsid w:val="00EC63E5"/>
    <w:rsid w:val="00EC6576"/>
    <w:rsid w:val="00EC7CB0"/>
    <w:rsid w:val="00ED0401"/>
    <w:rsid w:val="00ED1E83"/>
    <w:rsid w:val="00ED4E53"/>
    <w:rsid w:val="00ED5BFE"/>
    <w:rsid w:val="00ED7ADC"/>
    <w:rsid w:val="00EE14EF"/>
    <w:rsid w:val="00EE1D7A"/>
    <w:rsid w:val="00EE1E40"/>
    <w:rsid w:val="00EE2BFD"/>
    <w:rsid w:val="00EE3888"/>
    <w:rsid w:val="00EE62AA"/>
    <w:rsid w:val="00EE7E5E"/>
    <w:rsid w:val="00EF12A0"/>
    <w:rsid w:val="00EF1E6B"/>
    <w:rsid w:val="00EF602C"/>
    <w:rsid w:val="00EF7924"/>
    <w:rsid w:val="00EF7D23"/>
    <w:rsid w:val="00F01398"/>
    <w:rsid w:val="00F0168A"/>
    <w:rsid w:val="00F01DA4"/>
    <w:rsid w:val="00F027D8"/>
    <w:rsid w:val="00F07A26"/>
    <w:rsid w:val="00F07A8C"/>
    <w:rsid w:val="00F136DF"/>
    <w:rsid w:val="00F202FB"/>
    <w:rsid w:val="00F2082C"/>
    <w:rsid w:val="00F20B44"/>
    <w:rsid w:val="00F20B8D"/>
    <w:rsid w:val="00F20FAD"/>
    <w:rsid w:val="00F26E35"/>
    <w:rsid w:val="00F27AC4"/>
    <w:rsid w:val="00F334B3"/>
    <w:rsid w:val="00F346ED"/>
    <w:rsid w:val="00F3595C"/>
    <w:rsid w:val="00F377BE"/>
    <w:rsid w:val="00F377E2"/>
    <w:rsid w:val="00F37952"/>
    <w:rsid w:val="00F41687"/>
    <w:rsid w:val="00F43BA8"/>
    <w:rsid w:val="00F4449A"/>
    <w:rsid w:val="00F45762"/>
    <w:rsid w:val="00F45D27"/>
    <w:rsid w:val="00F469F1"/>
    <w:rsid w:val="00F471FB"/>
    <w:rsid w:val="00F51BA9"/>
    <w:rsid w:val="00F52EA1"/>
    <w:rsid w:val="00F53E5B"/>
    <w:rsid w:val="00F55AF3"/>
    <w:rsid w:val="00F612BC"/>
    <w:rsid w:val="00F61433"/>
    <w:rsid w:val="00F616D9"/>
    <w:rsid w:val="00F61946"/>
    <w:rsid w:val="00F61D49"/>
    <w:rsid w:val="00F66B7D"/>
    <w:rsid w:val="00F672DE"/>
    <w:rsid w:val="00F7384C"/>
    <w:rsid w:val="00F73BF6"/>
    <w:rsid w:val="00F773E5"/>
    <w:rsid w:val="00F77415"/>
    <w:rsid w:val="00F80FCE"/>
    <w:rsid w:val="00F83072"/>
    <w:rsid w:val="00F84505"/>
    <w:rsid w:val="00F84C8F"/>
    <w:rsid w:val="00F85C3B"/>
    <w:rsid w:val="00F85E0B"/>
    <w:rsid w:val="00F8657E"/>
    <w:rsid w:val="00F86971"/>
    <w:rsid w:val="00F91E4A"/>
    <w:rsid w:val="00F92417"/>
    <w:rsid w:val="00F92CFA"/>
    <w:rsid w:val="00FA3420"/>
    <w:rsid w:val="00FA56A1"/>
    <w:rsid w:val="00FA58B5"/>
    <w:rsid w:val="00FA7185"/>
    <w:rsid w:val="00FB06C9"/>
    <w:rsid w:val="00FB2FEE"/>
    <w:rsid w:val="00FB5D47"/>
    <w:rsid w:val="00FB61FB"/>
    <w:rsid w:val="00FB7794"/>
    <w:rsid w:val="00FB7E75"/>
    <w:rsid w:val="00FC1536"/>
    <w:rsid w:val="00FC3E0F"/>
    <w:rsid w:val="00FC5349"/>
    <w:rsid w:val="00FC7E6A"/>
    <w:rsid w:val="00FD0765"/>
    <w:rsid w:val="00FD19C8"/>
    <w:rsid w:val="00FD3893"/>
    <w:rsid w:val="00FD5E35"/>
    <w:rsid w:val="00FD6229"/>
    <w:rsid w:val="00FD72DF"/>
    <w:rsid w:val="00FE0014"/>
    <w:rsid w:val="00FE51D0"/>
    <w:rsid w:val="00FE533E"/>
    <w:rsid w:val="00FE5D33"/>
    <w:rsid w:val="00FE6DCC"/>
    <w:rsid w:val="00FF18F7"/>
    <w:rsid w:val="00FF191F"/>
    <w:rsid w:val="00FF52FF"/>
    <w:rsid w:val="00FF5C26"/>
    <w:rsid w:val="00FF5C66"/>
    <w:rsid w:val="00FF73F4"/>
    <w:rsid w:val="00FF74E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216DA"/>
  <w15:docId w15:val="{320E54F6-C2F2-4957-B864-2E55E8C0B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E1CFA"/>
    <w:pPr>
      <w:spacing w:line="300" w:lineRule="auto"/>
      <w:jc w:val="both"/>
    </w:pPr>
    <w:rPr>
      <w:sz w:val="20"/>
    </w:rPr>
  </w:style>
  <w:style w:type="paragraph" w:styleId="Overskrift1">
    <w:name w:val="heading 1"/>
    <w:next w:val="Normal"/>
    <w:link w:val="Overskrift1Tegn"/>
    <w:uiPriority w:val="9"/>
    <w:qFormat/>
    <w:rsid w:val="00226C3A"/>
    <w:pPr>
      <w:keepNext/>
      <w:keepLines/>
      <w:pageBreakBefore/>
      <w:numPr>
        <w:numId w:val="3"/>
      </w:numPr>
      <w:spacing w:before="480" w:after="240" w:line="240" w:lineRule="auto"/>
      <w:outlineLvl w:val="0"/>
    </w:pPr>
    <w:rPr>
      <w:rFonts w:asciiTheme="majorHAnsi" w:eastAsiaTheme="majorEastAsia" w:hAnsiTheme="majorHAnsi" w:cstheme="majorBidi"/>
      <w:b/>
      <w:bCs/>
      <w:color w:val="395775" w:themeColor="accent1"/>
      <w:sz w:val="36"/>
      <w:szCs w:val="36"/>
    </w:rPr>
  </w:style>
  <w:style w:type="paragraph" w:styleId="Overskrift2">
    <w:name w:val="heading 2"/>
    <w:basedOn w:val="Overskrift1"/>
    <w:next w:val="Normal"/>
    <w:link w:val="Overskrift2Tegn"/>
    <w:uiPriority w:val="9"/>
    <w:unhideWhenUsed/>
    <w:qFormat/>
    <w:rsid w:val="002812D6"/>
    <w:pPr>
      <w:pageBreakBefore w:val="0"/>
      <w:numPr>
        <w:ilvl w:val="1"/>
      </w:numPr>
      <w:spacing w:before="400" w:after="60" w:line="288" w:lineRule="auto"/>
      <w:outlineLvl w:val="1"/>
    </w:pPr>
    <w:rPr>
      <w:bCs w:val="0"/>
      <w:color w:val="D77F16" w:themeColor="accent2"/>
      <w:sz w:val="26"/>
      <w:szCs w:val="26"/>
    </w:rPr>
  </w:style>
  <w:style w:type="paragraph" w:styleId="Overskrift3">
    <w:name w:val="heading 3"/>
    <w:basedOn w:val="Overskrift2"/>
    <w:next w:val="Normal"/>
    <w:link w:val="Overskrift3Tegn"/>
    <w:uiPriority w:val="9"/>
    <w:unhideWhenUsed/>
    <w:qFormat/>
    <w:rsid w:val="002812D6"/>
    <w:pPr>
      <w:numPr>
        <w:ilvl w:val="2"/>
      </w:numPr>
      <w:outlineLvl w:val="2"/>
    </w:pPr>
    <w:rPr>
      <w:bCs/>
      <w:color w:val="395775" w:themeColor="accent1"/>
      <w:sz w:val="24"/>
      <w:szCs w:val="24"/>
    </w:rPr>
  </w:style>
  <w:style w:type="paragraph" w:styleId="Overskrift4">
    <w:name w:val="heading 4"/>
    <w:basedOn w:val="Overskrift3"/>
    <w:next w:val="Normal"/>
    <w:link w:val="Overskrift4Tegn"/>
    <w:uiPriority w:val="9"/>
    <w:unhideWhenUsed/>
    <w:qFormat/>
    <w:rsid w:val="002812D6"/>
    <w:pPr>
      <w:numPr>
        <w:ilvl w:val="0"/>
        <w:numId w:val="0"/>
      </w:numPr>
      <w:tabs>
        <w:tab w:val="left" w:pos="895"/>
      </w:tabs>
      <w:spacing w:before="360" w:after="40"/>
      <w:outlineLvl w:val="3"/>
    </w:pPr>
    <w:rPr>
      <w:bCs w:val="0"/>
      <w:iCs/>
      <w:color w:val="000000" w:themeColor="text1"/>
      <w:sz w:val="20"/>
      <w:szCs w:val="20"/>
    </w:rPr>
  </w:style>
  <w:style w:type="paragraph" w:styleId="Overskrift5">
    <w:name w:val="heading 5"/>
    <w:basedOn w:val="Normal"/>
    <w:next w:val="Normal"/>
    <w:link w:val="Overskrift5Tegn"/>
    <w:uiPriority w:val="9"/>
    <w:unhideWhenUsed/>
    <w:qFormat/>
    <w:rsid w:val="002812D6"/>
    <w:pPr>
      <w:keepNext/>
      <w:keepLines/>
      <w:spacing w:before="320" w:after="40" w:line="288" w:lineRule="auto"/>
      <w:outlineLvl w:val="4"/>
    </w:pPr>
    <w:rPr>
      <w:rFonts w:asciiTheme="majorHAnsi" w:eastAsiaTheme="majorEastAsia" w:hAnsiTheme="majorHAnsi" w:cstheme="majorBidi"/>
      <w:i/>
      <w:color w:val="000000" w:themeColor="text1"/>
      <w:szCs w:val="20"/>
    </w:rPr>
  </w:style>
  <w:style w:type="paragraph" w:styleId="Overskrift6">
    <w:name w:val="heading 6"/>
    <w:basedOn w:val="Normal"/>
    <w:next w:val="Normal"/>
    <w:link w:val="Overskrift6Tegn"/>
    <w:uiPriority w:val="9"/>
    <w:semiHidden/>
    <w:unhideWhenUsed/>
    <w:rsid w:val="00A23F27"/>
    <w:pPr>
      <w:keepNext/>
      <w:keepLines/>
      <w:spacing w:before="40" w:after="0"/>
      <w:outlineLvl w:val="5"/>
    </w:pPr>
    <w:rPr>
      <w:rFonts w:asciiTheme="majorHAnsi" w:eastAsiaTheme="majorEastAsia" w:hAnsiTheme="majorHAnsi" w:cstheme="majorBidi"/>
      <w:color w:val="1C2B3A"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495D7A"/>
    <w:pPr>
      <w:spacing w:after="0" w:line="240" w:lineRule="auto"/>
    </w:pPr>
    <w:rPr>
      <w:rFonts w:eastAsiaTheme="minorEastAsia"/>
      <w:lang w:val="en-US" w:eastAsia="ja-JP"/>
    </w:rPr>
  </w:style>
  <w:style w:type="character" w:customStyle="1" w:styleId="IngenmellomromTegn">
    <w:name w:val="Ingen mellomrom Tegn"/>
    <w:basedOn w:val="Standardskriftforavsnitt"/>
    <w:link w:val="Ingenmellomrom"/>
    <w:uiPriority w:val="1"/>
    <w:rsid w:val="00495D7A"/>
    <w:rPr>
      <w:rFonts w:eastAsiaTheme="minorEastAsia"/>
      <w:lang w:val="en-US" w:eastAsia="ja-JP"/>
    </w:rPr>
  </w:style>
  <w:style w:type="paragraph" w:styleId="Bobletekst">
    <w:name w:val="Balloon Text"/>
    <w:basedOn w:val="Normal"/>
    <w:link w:val="BobletekstTegn"/>
    <w:uiPriority w:val="99"/>
    <w:semiHidden/>
    <w:unhideWhenUsed/>
    <w:rsid w:val="00495D7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95D7A"/>
    <w:rPr>
      <w:rFonts w:ascii="Tahoma" w:hAnsi="Tahoma" w:cs="Tahoma"/>
      <w:sz w:val="16"/>
      <w:szCs w:val="16"/>
    </w:rPr>
  </w:style>
  <w:style w:type="paragraph" w:customStyle="1" w:styleId="Forside3">
    <w:name w:val="Forside 3"/>
    <w:basedOn w:val="Normal"/>
    <w:rsid w:val="00036508"/>
    <w:pPr>
      <w:spacing w:after="120" w:line="240" w:lineRule="auto"/>
      <w:jc w:val="right"/>
    </w:pPr>
    <w:rPr>
      <w:rFonts w:ascii="Calibri" w:eastAsia="Calibri" w:hAnsi="Calibri" w:cs="Times New Roman"/>
      <w:b/>
      <w:noProof/>
      <w:color w:val="FFFFFF"/>
      <w:szCs w:val="24"/>
    </w:rPr>
  </w:style>
  <w:style w:type="paragraph" w:customStyle="1" w:styleId="Forside">
    <w:name w:val="Forside"/>
    <w:basedOn w:val="Normal"/>
    <w:rsid w:val="00700C77"/>
    <w:pPr>
      <w:spacing w:before="120" w:after="0" w:line="720" w:lineRule="exact"/>
    </w:pPr>
    <w:rPr>
      <w:rFonts w:ascii="Calibri" w:eastAsia="Calibri" w:hAnsi="Calibri" w:cs="Times New Roman"/>
      <w:b/>
      <w:noProof/>
      <w:color w:val="212426"/>
      <w:sz w:val="64"/>
      <w:szCs w:val="24"/>
    </w:rPr>
  </w:style>
  <w:style w:type="paragraph" w:customStyle="1" w:styleId="Forside2">
    <w:name w:val="Forside 2"/>
    <w:basedOn w:val="Forside"/>
    <w:rsid w:val="00700C77"/>
    <w:pPr>
      <w:spacing w:line="240" w:lineRule="exact"/>
    </w:pPr>
    <w:rPr>
      <w:b w:val="0"/>
      <w:sz w:val="20"/>
    </w:rPr>
  </w:style>
  <w:style w:type="paragraph" w:styleId="Topptekst">
    <w:name w:val="header"/>
    <w:basedOn w:val="Normal"/>
    <w:link w:val="TopptekstTegn"/>
    <w:unhideWhenUsed/>
    <w:rsid w:val="004505CD"/>
    <w:pPr>
      <w:tabs>
        <w:tab w:val="center" w:pos="4536"/>
        <w:tab w:val="right" w:pos="9072"/>
      </w:tabs>
      <w:spacing w:after="0" w:line="240" w:lineRule="auto"/>
    </w:pPr>
  </w:style>
  <w:style w:type="character" w:customStyle="1" w:styleId="TopptekstTegn">
    <w:name w:val="Topptekst Tegn"/>
    <w:basedOn w:val="Standardskriftforavsnitt"/>
    <w:link w:val="Topptekst"/>
    <w:rsid w:val="004505CD"/>
  </w:style>
  <w:style w:type="paragraph" w:styleId="Bunntekst">
    <w:name w:val="footer"/>
    <w:basedOn w:val="Normal"/>
    <w:link w:val="BunntekstTegn"/>
    <w:uiPriority w:val="99"/>
    <w:unhideWhenUsed/>
    <w:rsid w:val="004505C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505CD"/>
  </w:style>
  <w:style w:type="character" w:styleId="Sidetall">
    <w:name w:val="page number"/>
    <w:basedOn w:val="Standardskriftforavsnitt"/>
    <w:rsid w:val="002B64B9"/>
  </w:style>
  <w:style w:type="character" w:customStyle="1" w:styleId="Overskrift1Tegn">
    <w:name w:val="Overskrift 1 Tegn"/>
    <w:basedOn w:val="Standardskriftforavsnitt"/>
    <w:link w:val="Overskrift1"/>
    <w:uiPriority w:val="9"/>
    <w:rsid w:val="00226C3A"/>
    <w:rPr>
      <w:rFonts w:asciiTheme="majorHAnsi" w:eastAsiaTheme="majorEastAsia" w:hAnsiTheme="majorHAnsi" w:cstheme="majorBidi"/>
      <w:b/>
      <w:bCs/>
      <w:color w:val="395775" w:themeColor="accent1"/>
      <w:sz w:val="36"/>
      <w:szCs w:val="36"/>
    </w:rPr>
  </w:style>
  <w:style w:type="character" w:customStyle="1" w:styleId="Overskrift2Tegn">
    <w:name w:val="Overskrift 2 Tegn"/>
    <w:basedOn w:val="Standardskriftforavsnitt"/>
    <w:link w:val="Overskrift2"/>
    <w:uiPriority w:val="9"/>
    <w:rsid w:val="002812D6"/>
    <w:rPr>
      <w:rFonts w:asciiTheme="majorHAnsi" w:eastAsiaTheme="majorEastAsia" w:hAnsiTheme="majorHAnsi" w:cstheme="majorBidi"/>
      <w:b/>
      <w:color w:val="D77F16" w:themeColor="accent2"/>
      <w:sz w:val="26"/>
      <w:szCs w:val="26"/>
    </w:rPr>
  </w:style>
  <w:style w:type="character" w:customStyle="1" w:styleId="Overskrift3Tegn">
    <w:name w:val="Overskrift 3 Tegn"/>
    <w:basedOn w:val="Standardskriftforavsnitt"/>
    <w:link w:val="Overskrift3"/>
    <w:uiPriority w:val="9"/>
    <w:rsid w:val="002812D6"/>
    <w:rPr>
      <w:rFonts w:asciiTheme="majorHAnsi" w:eastAsiaTheme="majorEastAsia" w:hAnsiTheme="majorHAnsi" w:cstheme="majorBidi"/>
      <w:b/>
      <w:bCs/>
      <w:color w:val="395775" w:themeColor="accent1"/>
      <w:sz w:val="24"/>
      <w:szCs w:val="24"/>
    </w:rPr>
  </w:style>
  <w:style w:type="paragraph" w:styleId="Listeavsnitt">
    <w:name w:val="List Paragraph"/>
    <w:aliases w:val="footer"/>
    <w:basedOn w:val="Normal"/>
    <w:link w:val="ListeavsnittTegn"/>
    <w:uiPriority w:val="34"/>
    <w:qFormat/>
    <w:rsid w:val="002B6B95"/>
    <w:pPr>
      <w:contextualSpacing/>
    </w:pPr>
  </w:style>
  <w:style w:type="character" w:customStyle="1" w:styleId="Overskrift4Tegn">
    <w:name w:val="Overskrift 4 Tegn"/>
    <w:basedOn w:val="Standardskriftforavsnitt"/>
    <w:link w:val="Overskrift4"/>
    <w:uiPriority w:val="9"/>
    <w:rsid w:val="002812D6"/>
    <w:rPr>
      <w:rFonts w:asciiTheme="majorHAnsi" w:eastAsiaTheme="majorEastAsia" w:hAnsiTheme="majorHAnsi" w:cstheme="majorBidi"/>
      <w:b/>
      <w:iCs/>
      <w:color w:val="000000" w:themeColor="text1"/>
      <w:sz w:val="20"/>
      <w:szCs w:val="20"/>
    </w:rPr>
  </w:style>
  <w:style w:type="numbering" w:customStyle="1" w:styleId="Headings">
    <w:name w:val="Headings"/>
    <w:uiPriority w:val="99"/>
    <w:rsid w:val="000E054A"/>
    <w:pPr>
      <w:numPr>
        <w:numId w:val="1"/>
      </w:numPr>
    </w:pPr>
  </w:style>
  <w:style w:type="paragraph" w:styleId="Bildetekst">
    <w:name w:val="caption"/>
    <w:aliases w:val="Bildetekst Tegn Tegn Tegn,Bildetekst Tegn Tegn Tegn Tegn Tegn,Bildetekst Tegn Tegn Tegn Tegn"/>
    <w:basedOn w:val="Normal"/>
    <w:next w:val="Normal"/>
    <w:link w:val="BildetekstTegn"/>
    <w:uiPriority w:val="35"/>
    <w:unhideWhenUsed/>
    <w:qFormat/>
    <w:rsid w:val="002812D6"/>
    <w:pPr>
      <w:keepNext/>
      <w:keepLines/>
      <w:spacing w:before="440" w:line="240" w:lineRule="auto"/>
    </w:pPr>
    <w:rPr>
      <w:b/>
      <w:bCs/>
      <w:color w:val="395775" w:themeColor="accent1"/>
      <w:sz w:val="18"/>
      <w:szCs w:val="18"/>
    </w:rPr>
  </w:style>
  <w:style w:type="paragraph" w:styleId="Fotnotetekst">
    <w:name w:val="footnote text"/>
    <w:aliases w:val="Char,Footnote,Footnotetext,DFSListFootnote"/>
    <w:basedOn w:val="Normal"/>
    <w:link w:val="FotnotetekstTegn"/>
    <w:uiPriority w:val="99"/>
    <w:unhideWhenUsed/>
    <w:rsid w:val="00A01247"/>
    <w:pPr>
      <w:spacing w:after="0" w:line="240" w:lineRule="auto"/>
    </w:pPr>
    <w:rPr>
      <w:i/>
      <w:sz w:val="19"/>
      <w:szCs w:val="19"/>
    </w:rPr>
  </w:style>
  <w:style w:type="character" w:customStyle="1" w:styleId="FotnotetekstTegn">
    <w:name w:val="Fotnotetekst Tegn"/>
    <w:aliases w:val="Char Tegn,Footnote Tegn,Footnotetext Tegn,DFSListFootnote Tegn"/>
    <w:basedOn w:val="Standardskriftforavsnitt"/>
    <w:link w:val="Fotnotetekst"/>
    <w:uiPriority w:val="99"/>
    <w:rsid w:val="00A01247"/>
    <w:rPr>
      <w:i/>
      <w:sz w:val="19"/>
      <w:szCs w:val="19"/>
    </w:rPr>
  </w:style>
  <w:style w:type="character" w:styleId="Fotnotereferanse">
    <w:name w:val="footnote reference"/>
    <w:basedOn w:val="Standardskriftforavsnitt"/>
    <w:uiPriority w:val="99"/>
    <w:unhideWhenUsed/>
    <w:rsid w:val="000E054A"/>
    <w:rPr>
      <w:vertAlign w:val="superscript"/>
    </w:rPr>
  </w:style>
  <w:style w:type="table" w:styleId="Tabellrutenett">
    <w:name w:val="Table Grid"/>
    <w:basedOn w:val="Vanligtabell"/>
    <w:uiPriority w:val="39"/>
    <w:rsid w:val="00E9704A"/>
    <w:pPr>
      <w:spacing w:after="0" w:line="240" w:lineRule="auto"/>
    </w:pPr>
    <w:rPr>
      <w:sz w:val="20"/>
    </w:rPr>
    <w:tblPr>
      <w:tblStyleRowBandSize w:val="1"/>
      <w:tblStyleColBandSize w:val="1"/>
      <w:tblBorders>
        <w:bottom w:val="single" w:sz="4" w:space="0" w:color="auto"/>
        <w:insideH w:val="dotted" w:sz="4" w:space="0" w:color="A6B340" w:themeColor="accent5"/>
      </w:tblBorders>
    </w:tblPr>
    <w:tcPr>
      <w:shd w:val="clear" w:color="auto" w:fill="auto"/>
    </w:tcPr>
    <w:tblStylePr w:type="firstRow">
      <w:tblPr/>
      <w:tcPr>
        <w:tcBorders>
          <w:top w:val="nil"/>
          <w:left w:val="nil"/>
          <w:bottom w:val="single" w:sz="8" w:space="0" w:color="395775" w:themeColor="accent1"/>
          <w:right w:val="nil"/>
          <w:insideH w:val="nil"/>
          <w:insideV w:val="nil"/>
          <w:tl2br w:val="nil"/>
          <w:tr2bl w:val="nil"/>
        </w:tcBorders>
      </w:tcPr>
    </w:tblStylePr>
    <w:tblStylePr w:type="band1Vert">
      <w:tblPr/>
      <w:tcPr>
        <w:shd w:val="clear" w:color="auto" w:fill="F0F5FA"/>
      </w:tcPr>
    </w:tblStylePr>
  </w:style>
  <w:style w:type="paragraph" w:customStyle="1" w:styleId="Tabelltekst">
    <w:name w:val="Tabelltekst"/>
    <w:basedOn w:val="Normal"/>
    <w:link w:val="TabelltekstChar"/>
    <w:qFormat/>
    <w:rsid w:val="00F27AC4"/>
    <w:pPr>
      <w:spacing w:line="216" w:lineRule="auto"/>
    </w:pPr>
    <w:rPr>
      <w:lang w:val="en-US"/>
    </w:rPr>
  </w:style>
  <w:style w:type="character" w:customStyle="1" w:styleId="TabelltekstChar">
    <w:name w:val="Tabelltekst Char"/>
    <w:basedOn w:val="Standardskriftforavsnitt"/>
    <w:link w:val="Tabelltekst"/>
    <w:rsid w:val="00F27AC4"/>
    <w:rPr>
      <w:sz w:val="20"/>
      <w:lang w:val="en-US"/>
    </w:rPr>
  </w:style>
  <w:style w:type="paragraph" w:styleId="Overskriftforinnholdsfortegnelse">
    <w:name w:val="TOC Heading"/>
    <w:basedOn w:val="Overskrift1"/>
    <w:next w:val="Normal"/>
    <w:uiPriority w:val="39"/>
    <w:unhideWhenUsed/>
    <w:qFormat/>
    <w:rsid w:val="00AE5EFB"/>
    <w:pPr>
      <w:pageBreakBefore w:val="0"/>
      <w:numPr>
        <w:numId w:val="0"/>
      </w:numPr>
      <w:spacing w:after="600" w:line="276" w:lineRule="auto"/>
      <w:outlineLvl w:val="9"/>
    </w:pPr>
    <w:rPr>
      <w:lang w:val="en-US" w:eastAsia="ja-JP"/>
    </w:rPr>
  </w:style>
  <w:style w:type="paragraph" w:styleId="INNH1">
    <w:name w:val="toc 1"/>
    <w:next w:val="Normal"/>
    <w:uiPriority w:val="39"/>
    <w:unhideWhenUsed/>
    <w:qFormat/>
    <w:rsid w:val="003C4EEF"/>
    <w:pPr>
      <w:tabs>
        <w:tab w:val="left" w:pos="510"/>
        <w:tab w:val="right" w:pos="9072"/>
      </w:tabs>
      <w:spacing w:before="160" w:after="0" w:line="220" w:lineRule="exact"/>
    </w:pPr>
    <w:rPr>
      <w:rFonts w:asciiTheme="majorHAnsi" w:hAnsiTheme="majorHAnsi"/>
      <w:b/>
      <w:bCs/>
      <w:caps/>
      <w:color w:val="000000" w:themeColor="text1"/>
      <w:sz w:val="18"/>
      <w:szCs w:val="24"/>
    </w:rPr>
  </w:style>
  <w:style w:type="paragraph" w:styleId="INNH2">
    <w:name w:val="toc 2"/>
    <w:basedOn w:val="Normal"/>
    <w:next w:val="Normal"/>
    <w:uiPriority w:val="39"/>
    <w:unhideWhenUsed/>
    <w:qFormat/>
    <w:rsid w:val="000F1C9F"/>
    <w:pPr>
      <w:tabs>
        <w:tab w:val="left" w:pos="510"/>
        <w:tab w:val="right" w:pos="9072"/>
      </w:tabs>
      <w:spacing w:before="60" w:after="60" w:line="220" w:lineRule="exact"/>
    </w:pPr>
    <w:rPr>
      <w:bCs/>
      <w:sz w:val="18"/>
      <w:szCs w:val="20"/>
    </w:rPr>
  </w:style>
  <w:style w:type="paragraph" w:styleId="INNH3">
    <w:name w:val="toc 3"/>
    <w:basedOn w:val="Normal"/>
    <w:next w:val="Normal"/>
    <w:uiPriority w:val="39"/>
    <w:unhideWhenUsed/>
    <w:qFormat/>
    <w:rsid w:val="000F1C9F"/>
    <w:pPr>
      <w:tabs>
        <w:tab w:val="left" w:pos="510"/>
        <w:tab w:val="right" w:pos="9072"/>
      </w:tabs>
      <w:spacing w:before="60" w:after="60" w:line="220" w:lineRule="exact"/>
    </w:pPr>
    <w:rPr>
      <w:sz w:val="18"/>
      <w:szCs w:val="20"/>
    </w:rPr>
  </w:style>
  <w:style w:type="character" w:styleId="Hyperkobling">
    <w:name w:val="Hyperlink"/>
    <w:basedOn w:val="Standardskriftforavsnitt"/>
    <w:uiPriority w:val="99"/>
    <w:unhideWhenUsed/>
    <w:rsid w:val="004A227F"/>
    <w:rPr>
      <w:color w:val="0432FF" w:themeColor="hyperlink"/>
      <w:u w:val="single"/>
    </w:rPr>
  </w:style>
  <w:style w:type="character" w:styleId="Merknadsreferanse">
    <w:name w:val="annotation reference"/>
    <w:basedOn w:val="Standardskriftforavsnitt"/>
    <w:uiPriority w:val="99"/>
    <w:semiHidden/>
    <w:unhideWhenUsed/>
    <w:rsid w:val="00E168FA"/>
    <w:rPr>
      <w:sz w:val="16"/>
      <w:szCs w:val="16"/>
    </w:rPr>
  </w:style>
  <w:style w:type="paragraph" w:styleId="Merknadstekst">
    <w:name w:val="annotation text"/>
    <w:basedOn w:val="Normal"/>
    <w:link w:val="MerknadstekstTegn"/>
    <w:uiPriority w:val="99"/>
    <w:unhideWhenUsed/>
    <w:rsid w:val="00E168FA"/>
    <w:pPr>
      <w:spacing w:line="240" w:lineRule="auto"/>
    </w:pPr>
    <w:rPr>
      <w:szCs w:val="20"/>
    </w:rPr>
  </w:style>
  <w:style w:type="character" w:customStyle="1" w:styleId="MerknadstekstTegn">
    <w:name w:val="Merknadstekst Tegn"/>
    <w:basedOn w:val="Standardskriftforavsnitt"/>
    <w:link w:val="Merknadstekst"/>
    <w:uiPriority w:val="99"/>
    <w:rsid w:val="00E168FA"/>
    <w:rPr>
      <w:sz w:val="20"/>
      <w:szCs w:val="20"/>
    </w:rPr>
  </w:style>
  <w:style w:type="paragraph" w:styleId="Kommentaremne">
    <w:name w:val="annotation subject"/>
    <w:basedOn w:val="Merknadstekst"/>
    <w:next w:val="Merknadstekst"/>
    <w:link w:val="KommentaremneTegn"/>
    <w:uiPriority w:val="99"/>
    <w:semiHidden/>
    <w:unhideWhenUsed/>
    <w:rsid w:val="00E168FA"/>
    <w:rPr>
      <w:b/>
      <w:bCs/>
    </w:rPr>
  </w:style>
  <w:style w:type="character" w:customStyle="1" w:styleId="KommentaremneTegn">
    <w:name w:val="Kommentaremne Tegn"/>
    <w:basedOn w:val="MerknadstekstTegn"/>
    <w:link w:val="Kommentaremne"/>
    <w:uiPriority w:val="99"/>
    <w:semiHidden/>
    <w:rsid w:val="00E168FA"/>
    <w:rPr>
      <w:b/>
      <w:bCs/>
      <w:sz w:val="20"/>
      <w:szCs w:val="20"/>
    </w:rPr>
  </w:style>
  <w:style w:type="character" w:customStyle="1" w:styleId="Overskrift5Tegn">
    <w:name w:val="Overskrift 5 Tegn"/>
    <w:basedOn w:val="Standardskriftforavsnitt"/>
    <w:link w:val="Overskrift5"/>
    <w:uiPriority w:val="9"/>
    <w:rsid w:val="002812D6"/>
    <w:rPr>
      <w:rFonts w:asciiTheme="majorHAnsi" w:eastAsiaTheme="majorEastAsia" w:hAnsiTheme="majorHAnsi" w:cstheme="majorBidi"/>
      <w:i/>
      <w:color w:val="000000" w:themeColor="text1"/>
      <w:sz w:val="20"/>
      <w:szCs w:val="20"/>
    </w:rPr>
  </w:style>
  <w:style w:type="paragraph" w:customStyle="1" w:styleId="Ingress">
    <w:name w:val="Ingress"/>
    <w:basedOn w:val="Normal"/>
    <w:next w:val="Normal"/>
    <w:qFormat/>
    <w:rsid w:val="008B53AC"/>
    <w:pPr>
      <w:spacing w:after="360" w:line="264" w:lineRule="auto"/>
    </w:pPr>
    <w:rPr>
      <w:b/>
      <w:sz w:val="22"/>
    </w:rPr>
  </w:style>
  <w:style w:type="character" w:styleId="Svakutheving">
    <w:name w:val="Subtle Emphasis"/>
    <w:aliases w:val="Cover 1"/>
    <w:uiPriority w:val="19"/>
    <w:rsid w:val="009B1F88"/>
    <w:rPr>
      <w:iCs/>
      <w:smallCaps/>
      <w:color w:val="404040"/>
      <w:sz w:val="30"/>
    </w:rPr>
  </w:style>
  <w:style w:type="character" w:styleId="Utheving">
    <w:name w:val="Emphasis"/>
    <w:aliases w:val="Cover 2"/>
    <w:uiPriority w:val="20"/>
    <w:rsid w:val="009A4138"/>
    <w:rPr>
      <w:rFonts w:asciiTheme="majorHAnsi" w:hAnsiTheme="majorHAnsi"/>
      <w:b w:val="0"/>
      <w:i w:val="0"/>
      <w:iCs/>
      <w:caps/>
      <w:smallCaps w:val="0"/>
      <w:strike w:val="0"/>
      <w:dstrike w:val="0"/>
      <w:vanish w:val="0"/>
      <w:color w:val="404040"/>
      <w:spacing w:val="0"/>
      <w:kern w:val="0"/>
      <w:position w:val="0"/>
      <w:sz w:val="58"/>
      <w:u w:val="none"/>
      <w:vertAlign w:val="baseline"/>
      <w14:ligatures w14:val="none"/>
      <w14:numForm w14:val="default"/>
      <w14:numSpacing w14:val="default"/>
      <w14:stylisticSets/>
      <w14:cntxtAlts w14:val="0"/>
    </w:rPr>
  </w:style>
  <w:style w:type="paragraph" w:customStyle="1" w:styleId="M-Cover1">
    <w:name w:val="M-Cover 1"/>
    <w:next w:val="M-Cover2"/>
    <w:rsid w:val="009A4138"/>
    <w:pPr>
      <w:spacing w:after="120" w:line="260" w:lineRule="exact"/>
    </w:pPr>
    <w:rPr>
      <w:rFonts w:asciiTheme="majorHAnsi" w:hAnsiTheme="majorHAnsi"/>
      <w:b/>
      <w:color w:val="FFFFFF" w:themeColor="background1"/>
      <w:sz w:val="20"/>
      <w:szCs w:val="24"/>
    </w:rPr>
  </w:style>
  <w:style w:type="paragraph" w:customStyle="1" w:styleId="M-Cover2">
    <w:name w:val="M-Cover 2"/>
    <w:rsid w:val="009A4138"/>
    <w:pPr>
      <w:spacing w:after="0" w:line="440" w:lineRule="exact"/>
    </w:pPr>
    <w:rPr>
      <w:rFonts w:asciiTheme="majorHAnsi" w:hAnsiTheme="majorHAnsi"/>
      <w:caps/>
      <w:color w:val="404040"/>
      <w:sz w:val="58"/>
      <w:szCs w:val="24"/>
    </w:rPr>
  </w:style>
  <w:style w:type="paragraph" w:customStyle="1" w:styleId="M-Cover3">
    <w:name w:val="M-Cover 3"/>
    <w:rsid w:val="009A4138"/>
    <w:pPr>
      <w:spacing w:after="0" w:line="240" w:lineRule="auto"/>
    </w:pPr>
    <w:rPr>
      <w:rFonts w:asciiTheme="majorHAnsi" w:hAnsiTheme="majorHAnsi"/>
      <w:color w:val="404040"/>
      <w:sz w:val="30"/>
      <w:szCs w:val="24"/>
    </w:rPr>
  </w:style>
  <w:style w:type="character" w:customStyle="1" w:styleId="Overskrift6Tegn">
    <w:name w:val="Overskrift 6 Tegn"/>
    <w:basedOn w:val="Standardskriftforavsnitt"/>
    <w:link w:val="Overskrift6"/>
    <w:uiPriority w:val="9"/>
    <w:semiHidden/>
    <w:rsid w:val="00A23F27"/>
    <w:rPr>
      <w:rFonts w:asciiTheme="majorHAnsi" w:eastAsiaTheme="majorEastAsia" w:hAnsiTheme="majorHAnsi" w:cstheme="majorBidi"/>
      <w:color w:val="1C2B3A" w:themeColor="accent1" w:themeShade="7F"/>
      <w:sz w:val="20"/>
    </w:rPr>
  </w:style>
  <w:style w:type="paragraph" w:styleId="INNH4">
    <w:name w:val="toc 4"/>
    <w:basedOn w:val="Normal"/>
    <w:next w:val="Normal"/>
    <w:autoRedefine/>
    <w:uiPriority w:val="39"/>
    <w:unhideWhenUsed/>
    <w:rsid w:val="00DB20BE"/>
    <w:pPr>
      <w:spacing w:after="0"/>
      <w:ind w:left="400"/>
    </w:pPr>
    <w:rPr>
      <w:szCs w:val="20"/>
    </w:rPr>
  </w:style>
  <w:style w:type="paragraph" w:styleId="INNH5">
    <w:name w:val="toc 5"/>
    <w:basedOn w:val="Normal"/>
    <w:next w:val="Normal"/>
    <w:autoRedefine/>
    <w:uiPriority w:val="39"/>
    <w:unhideWhenUsed/>
    <w:rsid w:val="00DB20BE"/>
    <w:pPr>
      <w:spacing w:after="0"/>
      <w:ind w:left="600"/>
    </w:pPr>
    <w:rPr>
      <w:szCs w:val="20"/>
    </w:rPr>
  </w:style>
  <w:style w:type="paragraph" w:styleId="INNH6">
    <w:name w:val="toc 6"/>
    <w:basedOn w:val="Normal"/>
    <w:next w:val="Normal"/>
    <w:autoRedefine/>
    <w:uiPriority w:val="39"/>
    <w:unhideWhenUsed/>
    <w:rsid w:val="00DB20BE"/>
    <w:pPr>
      <w:spacing w:after="0"/>
      <w:ind w:left="800"/>
    </w:pPr>
    <w:rPr>
      <w:szCs w:val="20"/>
    </w:rPr>
  </w:style>
  <w:style w:type="paragraph" w:styleId="INNH7">
    <w:name w:val="toc 7"/>
    <w:basedOn w:val="Normal"/>
    <w:next w:val="Normal"/>
    <w:autoRedefine/>
    <w:uiPriority w:val="39"/>
    <w:unhideWhenUsed/>
    <w:rsid w:val="00DB20BE"/>
    <w:pPr>
      <w:spacing w:after="0"/>
      <w:ind w:left="1000"/>
    </w:pPr>
    <w:rPr>
      <w:szCs w:val="20"/>
    </w:rPr>
  </w:style>
  <w:style w:type="paragraph" w:styleId="INNH8">
    <w:name w:val="toc 8"/>
    <w:basedOn w:val="Normal"/>
    <w:next w:val="Normal"/>
    <w:autoRedefine/>
    <w:uiPriority w:val="39"/>
    <w:unhideWhenUsed/>
    <w:rsid w:val="00DB20BE"/>
    <w:pPr>
      <w:spacing w:after="0"/>
      <w:ind w:left="1200"/>
    </w:pPr>
    <w:rPr>
      <w:szCs w:val="20"/>
    </w:rPr>
  </w:style>
  <w:style w:type="paragraph" w:styleId="INNH9">
    <w:name w:val="toc 9"/>
    <w:basedOn w:val="Normal"/>
    <w:next w:val="Normal"/>
    <w:autoRedefine/>
    <w:uiPriority w:val="39"/>
    <w:unhideWhenUsed/>
    <w:rsid w:val="00DB20BE"/>
    <w:pPr>
      <w:spacing w:after="0"/>
      <w:ind w:left="1400"/>
    </w:pPr>
    <w:rPr>
      <w:szCs w:val="20"/>
    </w:rPr>
  </w:style>
  <w:style w:type="table" w:styleId="Rutenettabell4-uthevingsfarge1">
    <w:name w:val="Grid Table 4 Accent 1"/>
    <w:basedOn w:val="Vanligtabell"/>
    <w:uiPriority w:val="49"/>
    <w:rsid w:val="00610254"/>
    <w:pPr>
      <w:spacing w:after="0" w:line="240" w:lineRule="auto"/>
    </w:pPr>
    <w:tblPr>
      <w:tblStyleRowBandSize w:val="1"/>
      <w:tblStyleColBandSize w:val="1"/>
      <w:tblBorders>
        <w:top w:val="single" w:sz="4" w:space="0" w:color="779ABD" w:themeColor="accent1" w:themeTint="99"/>
        <w:left w:val="single" w:sz="4" w:space="0" w:color="779ABD" w:themeColor="accent1" w:themeTint="99"/>
        <w:bottom w:val="single" w:sz="4" w:space="0" w:color="779ABD" w:themeColor="accent1" w:themeTint="99"/>
        <w:right w:val="single" w:sz="4" w:space="0" w:color="779ABD" w:themeColor="accent1" w:themeTint="99"/>
        <w:insideH w:val="single" w:sz="4" w:space="0" w:color="779ABD" w:themeColor="accent1" w:themeTint="99"/>
        <w:insideV w:val="single" w:sz="4" w:space="0" w:color="779ABD" w:themeColor="accent1" w:themeTint="99"/>
      </w:tblBorders>
    </w:tblPr>
    <w:tblStylePr w:type="firstRow">
      <w:rPr>
        <w:b/>
        <w:bCs/>
        <w:color w:val="FFFFFF" w:themeColor="background1"/>
      </w:rPr>
      <w:tblPr/>
      <w:tcPr>
        <w:tcBorders>
          <w:top w:val="single" w:sz="4" w:space="0" w:color="395775" w:themeColor="accent1"/>
          <w:left w:val="single" w:sz="4" w:space="0" w:color="395775" w:themeColor="accent1"/>
          <w:bottom w:val="single" w:sz="4" w:space="0" w:color="395775" w:themeColor="accent1"/>
          <w:right w:val="single" w:sz="4" w:space="0" w:color="395775" w:themeColor="accent1"/>
          <w:insideH w:val="nil"/>
          <w:insideV w:val="nil"/>
        </w:tcBorders>
        <w:shd w:val="clear" w:color="auto" w:fill="395775" w:themeFill="accent1"/>
      </w:tcPr>
    </w:tblStylePr>
    <w:tblStylePr w:type="lastRow">
      <w:rPr>
        <w:b/>
        <w:bCs/>
      </w:rPr>
      <w:tblPr/>
      <w:tcPr>
        <w:tcBorders>
          <w:top w:val="double" w:sz="4" w:space="0" w:color="395775" w:themeColor="accent1"/>
        </w:tcBorders>
      </w:tcPr>
    </w:tblStylePr>
    <w:tblStylePr w:type="firstCol">
      <w:rPr>
        <w:b/>
        <w:bCs/>
      </w:rPr>
    </w:tblStylePr>
    <w:tblStylePr w:type="lastCol">
      <w:rPr>
        <w:b/>
        <w:bCs/>
      </w:rPr>
    </w:tblStylePr>
    <w:tblStylePr w:type="band1Vert">
      <w:tblPr/>
      <w:tcPr>
        <w:shd w:val="clear" w:color="auto" w:fill="D1DDE9" w:themeFill="accent1" w:themeFillTint="33"/>
      </w:tcPr>
    </w:tblStylePr>
    <w:tblStylePr w:type="band1Horz">
      <w:tblPr/>
      <w:tcPr>
        <w:shd w:val="clear" w:color="auto" w:fill="D1DDE9" w:themeFill="accent1" w:themeFillTint="33"/>
      </w:tcPr>
    </w:tblStylePr>
  </w:style>
  <w:style w:type="table" w:styleId="Rutenettabell5mrk-uthevingsfarge1">
    <w:name w:val="Grid Table 5 Dark Accent 1"/>
    <w:basedOn w:val="Vanligtabell"/>
    <w:uiPriority w:val="50"/>
    <w:rsid w:val="006102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D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957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957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957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95775" w:themeFill="accent1"/>
      </w:tcPr>
    </w:tblStylePr>
    <w:tblStylePr w:type="band1Vert">
      <w:tblPr/>
      <w:tcPr>
        <w:shd w:val="clear" w:color="auto" w:fill="A4BBD3" w:themeFill="accent1" w:themeFillTint="66"/>
      </w:tcPr>
    </w:tblStylePr>
    <w:tblStylePr w:type="band1Horz">
      <w:tblPr/>
      <w:tcPr>
        <w:shd w:val="clear" w:color="auto" w:fill="A4BBD3" w:themeFill="accent1" w:themeFillTint="66"/>
      </w:tcPr>
    </w:tblStylePr>
  </w:style>
  <w:style w:type="paragraph" w:customStyle="1" w:styleId="BunntekstMenon">
    <w:name w:val="Bunntekst Menon"/>
    <w:basedOn w:val="Normal"/>
    <w:rsid w:val="00D411BE"/>
    <w:pPr>
      <w:spacing w:after="0"/>
    </w:pPr>
    <w:rPr>
      <w:caps/>
      <w:color w:val="395775" w:themeColor="accent1"/>
      <w:spacing w:val="26"/>
      <w:sz w:val="18"/>
      <w:szCs w:val="18"/>
    </w:rPr>
  </w:style>
  <w:style w:type="paragraph" w:styleId="Indeks1">
    <w:name w:val="index 1"/>
    <w:basedOn w:val="Normal"/>
    <w:next w:val="Normal"/>
    <w:autoRedefine/>
    <w:uiPriority w:val="99"/>
    <w:unhideWhenUsed/>
    <w:rsid w:val="00A018D8"/>
    <w:pPr>
      <w:ind w:left="200" w:hanging="200"/>
    </w:pPr>
  </w:style>
  <w:style w:type="paragraph" w:styleId="Indeks2">
    <w:name w:val="index 2"/>
    <w:basedOn w:val="Normal"/>
    <w:next w:val="Normal"/>
    <w:autoRedefine/>
    <w:uiPriority w:val="99"/>
    <w:unhideWhenUsed/>
    <w:rsid w:val="00A018D8"/>
    <w:pPr>
      <w:ind w:left="400" w:hanging="200"/>
    </w:pPr>
  </w:style>
  <w:style w:type="paragraph" w:styleId="Indeks3">
    <w:name w:val="index 3"/>
    <w:basedOn w:val="Normal"/>
    <w:next w:val="Normal"/>
    <w:autoRedefine/>
    <w:uiPriority w:val="99"/>
    <w:unhideWhenUsed/>
    <w:rsid w:val="00A018D8"/>
    <w:pPr>
      <w:ind w:left="600" w:hanging="200"/>
    </w:pPr>
  </w:style>
  <w:style w:type="paragraph" w:styleId="Indeks4">
    <w:name w:val="index 4"/>
    <w:basedOn w:val="Normal"/>
    <w:next w:val="Normal"/>
    <w:autoRedefine/>
    <w:uiPriority w:val="99"/>
    <w:unhideWhenUsed/>
    <w:rsid w:val="00A018D8"/>
    <w:pPr>
      <w:ind w:left="800" w:hanging="200"/>
    </w:pPr>
  </w:style>
  <w:style w:type="paragraph" w:styleId="Indeks5">
    <w:name w:val="index 5"/>
    <w:basedOn w:val="Normal"/>
    <w:next w:val="Normal"/>
    <w:autoRedefine/>
    <w:uiPriority w:val="99"/>
    <w:unhideWhenUsed/>
    <w:rsid w:val="00A018D8"/>
    <w:pPr>
      <w:ind w:left="1000" w:hanging="200"/>
    </w:pPr>
  </w:style>
  <w:style w:type="paragraph" w:styleId="Indeks6">
    <w:name w:val="index 6"/>
    <w:basedOn w:val="Normal"/>
    <w:next w:val="Normal"/>
    <w:autoRedefine/>
    <w:uiPriority w:val="99"/>
    <w:unhideWhenUsed/>
    <w:rsid w:val="00A018D8"/>
    <w:pPr>
      <w:ind w:left="1200" w:hanging="200"/>
    </w:pPr>
  </w:style>
  <w:style w:type="paragraph" w:styleId="Indeks7">
    <w:name w:val="index 7"/>
    <w:basedOn w:val="Normal"/>
    <w:next w:val="Normal"/>
    <w:autoRedefine/>
    <w:uiPriority w:val="99"/>
    <w:unhideWhenUsed/>
    <w:rsid w:val="00A018D8"/>
    <w:pPr>
      <w:ind w:left="1400" w:hanging="200"/>
    </w:pPr>
  </w:style>
  <w:style w:type="paragraph" w:styleId="Indeks8">
    <w:name w:val="index 8"/>
    <w:basedOn w:val="Normal"/>
    <w:next w:val="Normal"/>
    <w:autoRedefine/>
    <w:uiPriority w:val="99"/>
    <w:unhideWhenUsed/>
    <w:rsid w:val="00A018D8"/>
    <w:pPr>
      <w:ind w:left="1600" w:hanging="200"/>
    </w:pPr>
  </w:style>
  <w:style w:type="paragraph" w:styleId="Indeks9">
    <w:name w:val="index 9"/>
    <w:basedOn w:val="Normal"/>
    <w:next w:val="Normal"/>
    <w:autoRedefine/>
    <w:uiPriority w:val="99"/>
    <w:unhideWhenUsed/>
    <w:rsid w:val="00A018D8"/>
    <w:pPr>
      <w:ind w:left="1800" w:hanging="200"/>
    </w:pPr>
  </w:style>
  <w:style w:type="paragraph" w:styleId="Stikkordregisteroverskrift">
    <w:name w:val="index heading"/>
    <w:basedOn w:val="Normal"/>
    <w:next w:val="Indeks1"/>
    <w:uiPriority w:val="99"/>
    <w:unhideWhenUsed/>
    <w:rsid w:val="00A018D8"/>
  </w:style>
  <w:style w:type="table" w:styleId="Rutenettabell5mrk">
    <w:name w:val="Grid Table 5 Dark"/>
    <w:basedOn w:val="Vanligtabell"/>
    <w:uiPriority w:val="50"/>
    <w:rsid w:val="00226C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NormalWeb">
    <w:name w:val="Normal (Web)"/>
    <w:basedOn w:val="Normal"/>
    <w:uiPriority w:val="99"/>
    <w:semiHidden/>
    <w:unhideWhenUsed/>
    <w:rsid w:val="00AB65A5"/>
    <w:pPr>
      <w:spacing w:before="100" w:beforeAutospacing="1" w:after="100" w:afterAutospacing="1" w:line="240" w:lineRule="auto"/>
      <w:jc w:val="left"/>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AB65A5"/>
    <w:rPr>
      <w:b/>
      <w:bCs/>
    </w:rPr>
  </w:style>
  <w:style w:type="character" w:customStyle="1" w:styleId="BildetekstTegn">
    <w:name w:val="Bildetekst Tegn"/>
    <w:aliases w:val="Bildetekst Tegn Tegn Tegn Tegn1,Bildetekst Tegn Tegn Tegn Tegn Tegn Tegn,Bildetekst Tegn Tegn Tegn Tegn Tegn1"/>
    <w:basedOn w:val="Standardskriftforavsnitt"/>
    <w:link w:val="Bildetekst"/>
    <w:uiPriority w:val="35"/>
    <w:rsid w:val="00AB65A5"/>
    <w:rPr>
      <w:b/>
      <w:bCs/>
      <w:color w:val="395775" w:themeColor="accent1"/>
      <w:sz w:val="18"/>
      <w:szCs w:val="18"/>
    </w:rPr>
  </w:style>
  <w:style w:type="paragraph" w:customStyle="1" w:styleId="Default">
    <w:name w:val="Default"/>
    <w:rsid w:val="00AB65A5"/>
    <w:pPr>
      <w:autoSpaceDE w:val="0"/>
      <w:autoSpaceDN w:val="0"/>
      <w:adjustRightInd w:val="0"/>
      <w:spacing w:after="0" w:line="240" w:lineRule="auto"/>
    </w:pPr>
    <w:rPr>
      <w:rFonts w:ascii="Calibri" w:hAnsi="Calibri" w:cs="Calibri"/>
      <w:color w:val="000000"/>
      <w:sz w:val="24"/>
      <w:szCs w:val="24"/>
    </w:rPr>
  </w:style>
  <w:style w:type="paragraph" w:customStyle="1" w:styleId="b1af-f">
    <w:name w:val="b1af-_f"/>
    <w:basedOn w:val="Normal"/>
    <w:next w:val="Normal"/>
    <w:qFormat/>
    <w:rsid w:val="00AB65A5"/>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360" w:lineRule="atLeast"/>
      <w:jc w:val="left"/>
    </w:pPr>
    <w:rPr>
      <w:rFonts w:ascii="Times New Roman" w:eastAsia="Times New Roman" w:hAnsi="Times New Roman" w:cs="Times New Roman"/>
      <w:sz w:val="22"/>
      <w:szCs w:val="24"/>
    </w:rPr>
  </w:style>
  <w:style w:type="paragraph" w:customStyle="1" w:styleId="b1af">
    <w:name w:val="b1a_f"/>
    <w:basedOn w:val="b1af-f"/>
    <w:qFormat/>
    <w:rsid w:val="00AB65A5"/>
  </w:style>
  <w:style w:type="paragraph" w:customStyle="1" w:styleId="fn1aff">
    <w:name w:val="fn1af_f"/>
    <w:basedOn w:val="Normal"/>
    <w:next w:val="Normal"/>
    <w:rsid w:val="00AB65A5"/>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before="160" w:after="0" w:line="300" w:lineRule="atLeast"/>
      <w:jc w:val="left"/>
    </w:pPr>
    <w:rPr>
      <w:rFonts w:ascii="Times New Roman" w:eastAsia="Times New Roman" w:hAnsi="Times New Roman" w:cs="Times New Roman"/>
      <w:szCs w:val="24"/>
    </w:rPr>
  </w:style>
  <w:style w:type="paragraph" w:customStyle="1" w:styleId="EndNoteBibliography">
    <w:name w:val="EndNote Bibliography"/>
    <w:basedOn w:val="Normal"/>
    <w:link w:val="EndNoteBibliographyTegn"/>
    <w:rsid w:val="00AB65A5"/>
    <w:pPr>
      <w:spacing w:after="160" w:line="240" w:lineRule="auto"/>
      <w:jc w:val="left"/>
    </w:pPr>
    <w:rPr>
      <w:rFonts w:ascii="Calibri" w:hAnsi="Calibri"/>
      <w:noProof/>
      <w:sz w:val="22"/>
      <w:lang w:val="en-US"/>
    </w:rPr>
  </w:style>
  <w:style w:type="character" w:customStyle="1" w:styleId="EndNoteBibliographyTegn">
    <w:name w:val="EndNote Bibliography Tegn"/>
    <w:basedOn w:val="Standardskriftforavsnitt"/>
    <w:link w:val="EndNoteBibliography"/>
    <w:rsid w:val="00AB65A5"/>
    <w:rPr>
      <w:rFonts w:ascii="Calibri" w:hAnsi="Calibri"/>
      <w:noProof/>
      <w:lang w:val="en-US"/>
    </w:rPr>
  </w:style>
  <w:style w:type="table" w:styleId="Lysliste-uthevingsfarge1">
    <w:name w:val="Light List Accent 1"/>
    <w:basedOn w:val="Vanligtabell"/>
    <w:uiPriority w:val="61"/>
    <w:rsid w:val="00AB65A5"/>
    <w:pPr>
      <w:spacing w:after="0" w:line="240" w:lineRule="auto"/>
    </w:pPr>
    <w:tblPr>
      <w:tblStyleRowBandSize w:val="1"/>
      <w:tblStyleColBandSize w:val="1"/>
      <w:tblBorders>
        <w:top w:val="single" w:sz="8" w:space="0" w:color="395775" w:themeColor="accent1"/>
        <w:left w:val="single" w:sz="8" w:space="0" w:color="395775" w:themeColor="accent1"/>
        <w:bottom w:val="single" w:sz="8" w:space="0" w:color="395775" w:themeColor="accent1"/>
        <w:right w:val="single" w:sz="8" w:space="0" w:color="395775" w:themeColor="accent1"/>
      </w:tblBorders>
    </w:tblPr>
    <w:tblStylePr w:type="firstRow">
      <w:pPr>
        <w:spacing w:before="0" w:after="0" w:line="240" w:lineRule="auto"/>
      </w:pPr>
      <w:rPr>
        <w:b/>
        <w:bCs/>
        <w:color w:val="FFFFFF" w:themeColor="background1"/>
      </w:rPr>
      <w:tblPr/>
      <w:tcPr>
        <w:shd w:val="clear" w:color="auto" w:fill="395775" w:themeFill="accent1"/>
      </w:tcPr>
    </w:tblStylePr>
    <w:tblStylePr w:type="lastRow">
      <w:pPr>
        <w:spacing w:before="0" w:after="0" w:line="240" w:lineRule="auto"/>
      </w:pPr>
      <w:rPr>
        <w:b/>
        <w:bCs/>
      </w:rPr>
      <w:tblPr/>
      <w:tcPr>
        <w:tcBorders>
          <w:top w:val="double" w:sz="6" w:space="0" w:color="395775" w:themeColor="accent1"/>
          <w:left w:val="single" w:sz="8" w:space="0" w:color="395775" w:themeColor="accent1"/>
          <w:bottom w:val="single" w:sz="8" w:space="0" w:color="395775" w:themeColor="accent1"/>
          <w:right w:val="single" w:sz="8" w:space="0" w:color="395775" w:themeColor="accent1"/>
        </w:tcBorders>
      </w:tcPr>
    </w:tblStylePr>
    <w:tblStylePr w:type="firstCol">
      <w:rPr>
        <w:b/>
        <w:bCs/>
      </w:rPr>
    </w:tblStylePr>
    <w:tblStylePr w:type="lastCol">
      <w:rPr>
        <w:b/>
        <w:bCs/>
      </w:rPr>
    </w:tblStylePr>
    <w:tblStylePr w:type="band1Vert">
      <w:tblPr/>
      <w:tcPr>
        <w:tcBorders>
          <w:top w:val="single" w:sz="8" w:space="0" w:color="395775" w:themeColor="accent1"/>
          <w:left w:val="single" w:sz="8" w:space="0" w:color="395775" w:themeColor="accent1"/>
          <w:bottom w:val="single" w:sz="8" w:space="0" w:color="395775" w:themeColor="accent1"/>
          <w:right w:val="single" w:sz="8" w:space="0" w:color="395775" w:themeColor="accent1"/>
        </w:tcBorders>
      </w:tcPr>
    </w:tblStylePr>
    <w:tblStylePr w:type="band1Horz">
      <w:tblPr/>
      <w:tcPr>
        <w:tcBorders>
          <w:top w:val="single" w:sz="8" w:space="0" w:color="395775" w:themeColor="accent1"/>
          <w:left w:val="single" w:sz="8" w:space="0" w:color="395775" w:themeColor="accent1"/>
          <w:bottom w:val="single" w:sz="8" w:space="0" w:color="395775" w:themeColor="accent1"/>
          <w:right w:val="single" w:sz="8" w:space="0" w:color="395775" w:themeColor="accent1"/>
        </w:tcBorders>
      </w:tcPr>
    </w:tblStylePr>
  </w:style>
  <w:style w:type="character" w:customStyle="1" w:styleId="FootnoteTextChar">
    <w:name w:val="Footnote Text Char"/>
    <w:aliases w:val="Char Char"/>
    <w:basedOn w:val="Standardskriftforavsnitt"/>
    <w:uiPriority w:val="99"/>
    <w:locked/>
    <w:rsid w:val="00AB65A5"/>
  </w:style>
  <w:style w:type="paragraph" w:styleId="Brdtekst">
    <w:name w:val="Body Text"/>
    <w:basedOn w:val="Normal"/>
    <w:link w:val="BrdtekstTegn"/>
    <w:qFormat/>
    <w:rsid w:val="00AB65A5"/>
    <w:pPr>
      <w:spacing w:before="40" w:after="140" w:line="280" w:lineRule="atLeast"/>
      <w:jc w:val="left"/>
    </w:pPr>
    <w:rPr>
      <w:rFonts w:ascii="Verdana" w:eastAsiaTheme="minorEastAsia" w:hAnsi="Verdana" w:cs="Verdana"/>
      <w:sz w:val="18"/>
      <w:szCs w:val="18"/>
      <w:lang w:eastAsia="zh-CN"/>
    </w:rPr>
  </w:style>
  <w:style w:type="character" w:customStyle="1" w:styleId="BrdtekstTegn">
    <w:name w:val="Brødtekst Tegn"/>
    <w:basedOn w:val="Standardskriftforavsnitt"/>
    <w:link w:val="Brdtekst"/>
    <w:rsid w:val="00AB65A5"/>
    <w:rPr>
      <w:rFonts w:ascii="Verdana" w:eastAsiaTheme="minorEastAsia" w:hAnsi="Verdana" w:cs="Verdana"/>
      <w:sz w:val="18"/>
      <w:szCs w:val="18"/>
      <w:lang w:eastAsia="zh-CN"/>
    </w:rPr>
  </w:style>
  <w:style w:type="character" w:customStyle="1" w:styleId="ListeavsnittTegn">
    <w:name w:val="Listeavsnitt Tegn"/>
    <w:aliases w:val="footer Tegn"/>
    <w:basedOn w:val="Standardskriftforavsnitt"/>
    <w:link w:val="Listeavsnitt"/>
    <w:uiPriority w:val="34"/>
    <w:rsid w:val="00AB65A5"/>
    <w:rPr>
      <w:sz w:val="20"/>
    </w:rPr>
  </w:style>
  <w:style w:type="table" w:styleId="Vanligtabell1">
    <w:name w:val="Plain Table 1"/>
    <w:basedOn w:val="Vanligtabell"/>
    <w:uiPriority w:val="41"/>
    <w:rsid w:val="00AB65A5"/>
    <w:pPr>
      <w:spacing w:before="240" w:after="0" w:line="240" w:lineRule="auto"/>
      <w:jc w:val="both"/>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ulgthyperkobling">
    <w:name w:val="FollowedHyperlink"/>
    <w:basedOn w:val="Standardskriftforavsnitt"/>
    <w:uiPriority w:val="99"/>
    <w:semiHidden/>
    <w:unhideWhenUsed/>
    <w:rsid w:val="00AB65A5"/>
    <w:rPr>
      <w:color w:val="75D5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29510">
      <w:bodyDiv w:val="1"/>
      <w:marLeft w:val="0"/>
      <w:marRight w:val="0"/>
      <w:marTop w:val="0"/>
      <w:marBottom w:val="0"/>
      <w:divBdr>
        <w:top w:val="none" w:sz="0" w:space="0" w:color="auto"/>
        <w:left w:val="none" w:sz="0" w:space="0" w:color="auto"/>
        <w:bottom w:val="none" w:sz="0" w:space="0" w:color="auto"/>
        <w:right w:val="none" w:sz="0" w:space="0" w:color="auto"/>
      </w:divBdr>
      <w:divsChild>
        <w:div w:id="1787040948">
          <w:marLeft w:val="374"/>
          <w:marRight w:val="0"/>
          <w:marTop w:val="133"/>
          <w:marBottom w:val="0"/>
          <w:divBdr>
            <w:top w:val="none" w:sz="0" w:space="0" w:color="auto"/>
            <w:left w:val="none" w:sz="0" w:space="0" w:color="auto"/>
            <w:bottom w:val="none" w:sz="0" w:space="0" w:color="auto"/>
            <w:right w:val="none" w:sz="0" w:space="0" w:color="auto"/>
          </w:divBdr>
        </w:div>
        <w:div w:id="1483355394">
          <w:marLeft w:val="648"/>
          <w:marRight w:val="0"/>
          <w:marTop w:val="80"/>
          <w:marBottom w:val="0"/>
          <w:divBdr>
            <w:top w:val="none" w:sz="0" w:space="0" w:color="auto"/>
            <w:left w:val="none" w:sz="0" w:space="0" w:color="auto"/>
            <w:bottom w:val="none" w:sz="0" w:space="0" w:color="auto"/>
            <w:right w:val="none" w:sz="0" w:space="0" w:color="auto"/>
          </w:divBdr>
        </w:div>
        <w:div w:id="101732477">
          <w:marLeft w:val="648"/>
          <w:marRight w:val="0"/>
          <w:marTop w:val="80"/>
          <w:marBottom w:val="0"/>
          <w:divBdr>
            <w:top w:val="none" w:sz="0" w:space="0" w:color="auto"/>
            <w:left w:val="none" w:sz="0" w:space="0" w:color="auto"/>
            <w:bottom w:val="none" w:sz="0" w:space="0" w:color="auto"/>
            <w:right w:val="none" w:sz="0" w:space="0" w:color="auto"/>
          </w:divBdr>
        </w:div>
        <w:div w:id="1700425316">
          <w:marLeft w:val="648"/>
          <w:marRight w:val="0"/>
          <w:marTop w:val="80"/>
          <w:marBottom w:val="0"/>
          <w:divBdr>
            <w:top w:val="none" w:sz="0" w:space="0" w:color="auto"/>
            <w:left w:val="none" w:sz="0" w:space="0" w:color="auto"/>
            <w:bottom w:val="none" w:sz="0" w:space="0" w:color="auto"/>
            <w:right w:val="none" w:sz="0" w:space="0" w:color="auto"/>
          </w:divBdr>
        </w:div>
      </w:divsChild>
    </w:div>
    <w:div w:id="1240023844">
      <w:bodyDiv w:val="1"/>
      <w:marLeft w:val="0"/>
      <w:marRight w:val="0"/>
      <w:marTop w:val="0"/>
      <w:marBottom w:val="0"/>
      <w:divBdr>
        <w:top w:val="none" w:sz="0" w:space="0" w:color="auto"/>
        <w:left w:val="none" w:sz="0" w:space="0" w:color="auto"/>
        <w:bottom w:val="none" w:sz="0" w:space="0" w:color="auto"/>
        <w:right w:val="none" w:sz="0" w:space="0" w:color="auto"/>
      </w:divBdr>
      <w:divsChild>
        <w:div w:id="453720706">
          <w:marLeft w:val="374"/>
          <w:marRight w:val="0"/>
          <w:marTop w:val="133"/>
          <w:marBottom w:val="0"/>
          <w:divBdr>
            <w:top w:val="none" w:sz="0" w:space="0" w:color="auto"/>
            <w:left w:val="none" w:sz="0" w:space="0" w:color="auto"/>
            <w:bottom w:val="none" w:sz="0" w:space="0" w:color="auto"/>
            <w:right w:val="none" w:sz="0" w:space="0" w:color="auto"/>
          </w:divBdr>
        </w:div>
        <w:div w:id="768811875">
          <w:marLeft w:val="648"/>
          <w:marRight w:val="0"/>
          <w:marTop w:val="80"/>
          <w:marBottom w:val="0"/>
          <w:divBdr>
            <w:top w:val="none" w:sz="0" w:space="0" w:color="auto"/>
            <w:left w:val="none" w:sz="0" w:space="0" w:color="auto"/>
            <w:bottom w:val="none" w:sz="0" w:space="0" w:color="auto"/>
            <w:right w:val="none" w:sz="0" w:space="0" w:color="auto"/>
          </w:divBdr>
        </w:div>
        <w:div w:id="100271845">
          <w:marLeft w:val="648"/>
          <w:marRight w:val="0"/>
          <w:marTop w:val="80"/>
          <w:marBottom w:val="0"/>
          <w:divBdr>
            <w:top w:val="none" w:sz="0" w:space="0" w:color="auto"/>
            <w:left w:val="none" w:sz="0" w:space="0" w:color="auto"/>
            <w:bottom w:val="none" w:sz="0" w:space="0" w:color="auto"/>
            <w:right w:val="none" w:sz="0" w:space="0" w:color="auto"/>
          </w:divBdr>
        </w:div>
        <w:div w:id="1975524129">
          <w:marLeft w:val="648"/>
          <w:marRight w:val="0"/>
          <w:marTop w:val="80"/>
          <w:marBottom w:val="0"/>
          <w:divBdr>
            <w:top w:val="none" w:sz="0" w:space="0" w:color="auto"/>
            <w:left w:val="none" w:sz="0" w:space="0" w:color="auto"/>
            <w:bottom w:val="none" w:sz="0" w:space="0" w:color="auto"/>
            <w:right w:val="none" w:sz="0" w:space="0" w:color="auto"/>
          </w:divBdr>
        </w:div>
      </w:divsChild>
    </w:div>
    <w:div w:id="1746876500">
      <w:bodyDiv w:val="1"/>
      <w:marLeft w:val="0"/>
      <w:marRight w:val="0"/>
      <w:marTop w:val="0"/>
      <w:marBottom w:val="0"/>
      <w:divBdr>
        <w:top w:val="none" w:sz="0" w:space="0" w:color="auto"/>
        <w:left w:val="none" w:sz="0" w:space="0" w:color="auto"/>
        <w:bottom w:val="none" w:sz="0" w:space="0" w:color="auto"/>
        <w:right w:val="none" w:sz="0" w:space="0" w:color="auto"/>
      </w:divBdr>
      <w:divsChild>
        <w:div w:id="951668030">
          <w:marLeft w:val="374"/>
          <w:marRight w:val="0"/>
          <w:marTop w:val="133"/>
          <w:marBottom w:val="0"/>
          <w:divBdr>
            <w:top w:val="none" w:sz="0" w:space="0" w:color="auto"/>
            <w:left w:val="none" w:sz="0" w:space="0" w:color="auto"/>
            <w:bottom w:val="none" w:sz="0" w:space="0" w:color="auto"/>
            <w:right w:val="none" w:sz="0" w:space="0" w:color="auto"/>
          </w:divBdr>
        </w:div>
        <w:div w:id="2011179838">
          <w:marLeft w:val="648"/>
          <w:marRight w:val="0"/>
          <w:marTop w:val="80"/>
          <w:marBottom w:val="0"/>
          <w:divBdr>
            <w:top w:val="none" w:sz="0" w:space="0" w:color="auto"/>
            <w:left w:val="none" w:sz="0" w:space="0" w:color="auto"/>
            <w:bottom w:val="none" w:sz="0" w:space="0" w:color="auto"/>
            <w:right w:val="none" w:sz="0" w:space="0" w:color="auto"/>
          </w:divBdr>
        </w:div>
        <w:div w:id="1680155892">
          <w:marLeft w:val="648"/>
          <w:marRight w:val="0"/>
          <w:marTop w:val="80"/>
          <w:marBottom w:val="0"/>
          <w:divBdr>
            <w:top w:val="none" w:sz="0" w:space="0" w:color="auto"/>
            <w:left w:val="none" w:sz="0" w:space="0" w:color="auto"/>
            <w:bottom w:val="none" w:sz="0" w:space="0" w:color="auto"/>
            <w:right w:val="none" w:sz="0" w:space="0" w:color="auto"/>
          </w:divBdr>
        </w:div>
        <w:div w:id="880020707">
          <w:marLeft w:val="648"/>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rbj&#248;rn\Dropbox%20(Menon)\Admin%20Menon\Maler\Menon-maler%202016\MENON-MAL%20RAPPORT%202016%20status%2025.5.dotx" TargetMode="External"/></Relationships>
</file>

<file path=word/theme/theme1.xml><?xml version="1.0" encoding="utf-8"?>
<a:theme xmlns:a="http://schemas.openxmlformats.org/drawingml/2006/main" name="Meno">
  <a:themeElements>
    <a:clrScheme name="Menon 2">
      <a:dk1>
        <a:srgbClr val="000000"/>
      </a:dk1>
      <a:lt1>
        <a:srgbClr val="FFFFFF"/>
      </a:lt1>
      <a:dk2>
        <a:srgbClr val="C0C1BF"/>
      </a:dk2>
      <a:lt2>
        <a:srgbClr val="EFEEED"/>
      </a:lt2>
      <a:accent1>
        <a:srgbClr val="395775"/>
      </a:accent1>
      <a:accent2>
        <a:srgbClr val="D77F16"/>
      </a:accent2>
      <a:accent3>
        <a:srgbClr val="737B82"/>
      </a:accent3>
      <a:accent4>
        <a:srgbClr val="ACB3B8"/>
      </a:accent4>
      <a:accent5>
        <a:srgbClr val="A6B340"/>
      </a:accent5>
      <a:accent6>
        <a:srgbClr val="941100"/>
      </a:accent6>
      <a:hlink>
        <a:srgbClr val="0432FF"/>
      </a:hlink>
      <a:folHlink>
        <a:srgbClr val="75D5F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h63eb6bf2e3d4f93aa1ddf743b668c17 xmlns="a0c403bc-df03-43c8-915b-d2d6e5c89d57">
      <Terms xmlns="http://schemas.microsoft.com/office/infopath/2007/PartnerControls">
        <TermInfo xmlns="http://schemas.microsoft.com/office/infopath/2007/PartnerControls">
          <TermName xmlns="http://schemas.microsoft.com/office/infopath/2007/PartnerControls">Sammendrag</TermName>
          <TermId xmlns="http://schemas.microsoft.com/office/infopath/2007/PartnerControls">06fd0364-2305-480a-8ec8-1cae03112a06</TermId>
        </TermInfo>
      </Terms>
    </h63eb6bf2e3d4f93aa1ddf743b668c17>
    <Rapportforfatter xmlns="a0c403bc-df03-43c8-915b-d2d6e5c89d57">Menon</Rapportforfatter>
    <ReportDescription xmlns="http://schemas.microsoft.com/sharepoint/v3" xsi:nil="true"/>
    <TaxCatchAll xmlns="a0c403bc-df03-43c8-915b-d2d6e5c89d57">
      <Value>109</Value>
    </TaxCatchAll>
    <_dlc_DocId xmlns="a0c403bc-df03-43c8-915b-d2d6e5c89d57">DMFW2D44QQMK-1238336814-3</_dlc_DocId>
    <_dlc_DocIdUrl xmlns="a0c403bc-df03-43c8-915b-d2d6e5c89d57">
      <Url>http://fou.ks.no/prosjekter/154015/_layouts/15/DocIdRedir.aspx?ID=DMFW2D44QQMK-1238336814-3</Url>
      <Description>DMFW2D44QQMK-1238336814-3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Prosjektrapport" ma:contentTypeID="0x010100C466DCB15B7C4D46B76A8E26AA95A5200024E5441300B2484EB2311D8359358CF4" ma:contentTypeVersion="0" ma:contentTypeDescription="" ma:contentTypeScope="" ma:versionID="51bfa504bf6abf3433bb9423b7de9ed3">
  <xsd:schema xmlns:xsd="http://www.w3.org/2001/XMLSchema" xmlns:xs="http://www.w3.org/2001/XMLSchema" xmlns:p="http://schemas.microsoft.com/office/2006/metadata/properties" xmlns:ns1="http://schemas.microsoft.com/sharepoint/v3" xmlns:ns2="a0c403bc-df03-43c8-915b-d2d6e5c89d57" targetNamespace="http://schemas.microsoft.com/office/2006/metadata/properties" ma:root="true" ma:fieldsID="f5540488cbf06003735da23cb205329d" ns1:_="" ns2:_="">
    <xsd:import namespace="http://schemas.microsoft.com/sharepoint/v3"/>
    <xsd:import namespace="a0c403bc-df03-43c8-915b-d2d6e5c89d57"/>
    <xsd:element name="properties">
      <xsd:complexType>
        <xsd:sequence>
          <xsd:element name="documentManagement">
            <xsd:complexType>
              <xsd:all>
                <xsd:element ref="ns2:_dlc_DocId" minOccurs="0"/>
                <xsd:element ref="ns2:_dlc_DocIdUrl" minOccurs="0"/>
                <xsd:element ref="ns2:_dlc_DocIdPersistId" minOccurs="0"/>
                <xsd:element ref="ns1:ReportDescription" minOccurs="0"/>
                <xsd:element ref="ns2:Rapportforfatter" minOccurs="0"/>
                <xsd:element ref="ns2:h63eb6bf2e3d4f93aa1ddf743b668c17"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11" nillable="true" ma:displayName="Rapportbeskrivelse" ma:description="En beskrivelse av innholdet i rapporten" ma:internalName="Report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c403bc-df03-43c8-915b-d2d6e5c89d57"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Fast ID" ma:description="Behold IDen ved tillegging." ma:hidden="true" ma:internalName="_dlc_DocIdPersistId" ma:readOnly="true">
      <xsd:simpleType>
        <xsd:restriction base="dms:Boolean"/>
      </xsd:simpleType>
    </xsd:element>
    <xsd:element name="Rapportforfatter" ma:index="12" nillable="true" ma:displayName="Rapportforfatter" ma:internalName="Rapportforfatter">
      <xsd:simpleType>
        <xsd:restriction base="dms:Text">
          <xsd:maxLength value="255"/>
        </xsd:restriction>
      </xsd:simpleType>
    </xsd:element>
    <xsd:element name="h63eb6bf2e3d4f93aa1ddf743b668c17" ma:index="13" nillable="true" ma:taxonomy="true" ma:internalName="h63eb6bf2e3d4f93aa1ddf743b668c17" ma:taxonomyFieldName="Dokumentkategori" ma:displayName="Dokumentkategori" ma:default="" ma:fieldId="{163eb6bf-2e3d-4f93-aa1d-df743b668c17}" ma:sspId="723dea4e-3c3b-4542-8cf3-09c21c94bb66" ma:termSetId="115804ee-8a7e-44c7-8782-636c4cc4e937" ma:anchorId="00000000-0000-0000-0000-000000000000" ma:open="false" ma:isKeyword="false">
      <xsd:complexType>
        <xsd:sequence>
          <xsd:element ref="pc:Terms" minOccurs="0" maxOccurs="1"/>
        </xsd:sequence>
      </xsd:complexType>
    </xsd:element>
    <xsd:element name="TaxCatchAll" ma:index="14" nillable="true" ma:displayName="Global taksonomikolonne" ma:hidden="true" ma:list="{0619e880-d3e8-4a0a-ac1c-51547fa4f40c}" ma:internalName="TaxCatchAll" ma:showField="CatchAllData" ma:web="a0c403bc-df03-43c8-915b-d2d6e5c89d57">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Global taksonomikolonne1" ma:hidden="true" ma:list="{0619e880-d3e8-4a0a-ac1c-51547fa4f40c}" ma:internalName="TaxCatchAllLabel" ma:readOnly="true" ma:showField="CatchAllDataLabel" ma:web="a0c403bc-df03-43c8-915b-d2d6e5c89d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D8E40DB-E88D-421F-BB2A-F4BFC376C7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2EE703-E6B6-45AA-AF8F-9BAA7850FB5C}"/>
</file>

<file path=customXml/itemProps3.xml><?xml version="1.0" encoding="utf-8"?>
<ds:datastoreItem xmlns:ds="http://schemas.openxmlformats.org/officeDocument/2006/customXml" ds:itemID="{5BB9671A-C4C5-43CF-9EA9-4660A7F1327D}">
  <ds:schemaRefs>
    <ds:schemaRef ds:uri="http://schemas.microsoft.com/sharepoint/v3/contenttype/forms"/>
  </ds:schemaRefs>
</ds:datastoreItem>
</file>

<file path=customXml/itemProps4.xml><?xml version="1.0" encoding="utf-8"?>
<ds:datastoreItem xmlns:ds="http://schemas.openxmlformats.org/officeDocument/2006/customXml" ds:itemID="{7E65EEF9-D297-4EB1-A1A2-9067D33AD2AF}">
  <ds:schemaRefs>
    <ds:schemaRef ds:uri="http://schemas.openxmlformats.org/officeDocument/2006/bibliography"/>
  </ds:schemaRefs>
</ds:datastoreItem>
</file>

<file path=customXml/itemProps5.xml><?xml version="1.0" encoding="utf-8"?>
<ds:datastoreItem xmlns:ds="http://schemas.openxmlformats.org/officeDocument/2006/customXml" ds:itemID="{DFA6D9ED-861A-4BBB-B5B7-4B61283384AE}"/>
</file>

<file path=docProps/app.xml><?xml version="1.0" encoding="utf-8"?>
<Properties xmlns="http://schemas.openxmlformats.org/officeDocument/2006/extended-properties" xmlns:vt="http://schemas.openxmlformats.org/officeDocument/2006/docPropsVTypes">
  <Template>MENON-MAL RAPPORT 2016 status 25.5</Template>
  <TotalTime>2</TotalTime>
  <Pages>5</Pages>
  <Words>1901</Words>
  <Characters>10076</Characters>
  <Application>Microsoft Office Word</Application>
  <DocSecurity>0</DocSecurity>
  <Lines>83</Lines>
  <Paragraphs>23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Torbjørn</dc:creator>
  <cp:lastModifiedBy>Leo</cp:lastModifiedBy>
  <cp:revision>4</cp:revision>
  <cp:lastPrinted>2017-01-11T10:12:00Z</cp:lastPrinted>
  <dcterms:created xsi:type="dcterms:W3CDTF">2017-01-25T08:34:00Z</dcterms:created>
  <dcterms:modified xsi:type="dcterms:W3CDTF">2017-03-17T09:26:00Z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0x010100C466DCB15B7C4D46B76A8E26AA95A5200024E5441300B2484EB2311D8359358CF4</vt:lpwstr>
  </property>
  <property fmtid="{D5CDD505-2E9C-101B-9397-08002B2CF9AE}" pid="3" name="_dlc_DocIdItemGuid">
    <vt:lpwstr>108835f8-bf76-4543-8730-3066611185fe</vt:lpwstr>
  </property>
  <property fmtid="{D5CDD505-2E9C-101B-9397-08002B2CF9AE}" pid="4" name="Dokumentkategori">
    <vt:lpwstr>109;#Sammendrag|06fd0364-2305-480a-8ec8-1cae03112a06</vt:lpwstr>
  </property>
</Properties>
</file>